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6E2F" w:rsidR="00B52BCC" w:rsidRDefault="00B52BCC" w14:paraId="0284CB0A" w14:textId="77777777">
      <w:pPr>
        <w:rPr>
          <w:b/>
          <w:sz w:val="22"/>
          <w:szCs w:val="22"/>
        </w:rPr>
      </w:pPr>
    </w:p>
    <w:p w:rsidRPr="00556E2F" w:rsidR="00B52BCC" w:rsidP="00B52BCC" w:rsidRDefault="00B52BCC" w14:paraId="0284CB0B" w14:textId="77777777">
      <w:pPr>
        <w:jc w:val="center"/>
        <w:rPr>
          <w:b/>
          <w:sz w:val="22"/>
          <w:szCs w:val="22"/>
        </w:rPr>
      </w:pPr>
    </w:p>
    <w:p w:rsidRPr="00556E2F" w:rsidR="00B52BCC" w:rsidP="00B52BCC" w:rsidRDefault="00B52BCC" w14:paraId="0284CB0C" w14:textId="77777777">
      <w:pPr>
        <w:jc w:val="center"/>
        <w:rPr>
          <w:b/>
          <w:sz w:val="22"/>
          <w:szCs w:val="22"/>
        </w:rPr>
      </w:pPr>
    </w:p>
    <w:p w:rsidR="00B872F3" w:rsidP="0010540B" w:rsidRDefault="00B872F3" w14:paraId="0284CB0D" w14:textId="77777777">
      <w:pPr>
        <w:jc w:val="center"/>
        <w:rPr>
          <w:b/>
          <w:sz w:val="28"/>
          <w:szCs w:val="28"/>
        </w:rPr>
      </w:pPr>
    </w:p>
    <w:p w:rsidR="00B872F3" w:rsidP="0010540B" w:rsidRDefault="00B872F3" w14:paraId="0284CB0E" w14:textId="77777777">
      <w:pPr>
        <w:jc w:val="center"/>
        <w:rPr>
          <w:b/>
          <w:sz w:val="28"/>
          <w:szCs w:val="28"/>
        </w:rPr>
      </w:pPr>
    </w:p>
    <w:p w:rsidR="00B872F3" w:rsidP="0010540B" w:rsidRDefault="00B872F3" w14:paraId="0284CB0F" w14:textId="77777777">
      <w:pPr>
        <w:jc w:val="center"/>
        <w:rPr>
          <w:b/>
          <w:sz w:val="28"/>
          <w:szCs w:val="28"/>
        </w:rPr>
      </w:pPr>
    </w:p>
    <w:p w:rsidR="00B872F3" w:rsidP="0010540B" w:rsidRDefault="00B872F3" w14:paraId="0284CB10" w14:textId="77777777">
      <w:pPr>
        <w:jc w:val="center"/>
        <w:rPr>
          <w:b/>
          <w:sz w:val="28"/>
          <w:szCs w:val="28"/>
        </w:rPr>
      </w:pPr>
    </w:p>
    <w:p w:rsidR="00B872F3" w:rsidP="0010540B" w:rsidRDefault="00B872F3" w14:paraId="0284CB11" w14:textId="77777777">
      <w:pPr>
        <w:jc w:val="center"/>
        <w:rPr>
          <w:b/>
          <w:sz w:val="28"/>
          <w:szCs w:val="28"/>
        </w:rPr>
      </w:pPr>
    </w:p>
    <w:p w:rsidR="00DD5EDA" w:rsidP="0010540B" w:rsidRDefault="00B52BCC" w14:paraId="0284CB12" w14:textId="239D8DAB">
      <w:pPr>
        <w:jc w:val="center"/>
        <w:rPr>
          <w:b/>
          <w:sz w:val="28"/>
          <w:szCs w:val="28"/>
        </w:rPr>
      </w:pPr>
      <w:r w:rsidRPr="0095190C">
        <w:rPr>
          <w:b/>
          <w:sz w:val="28"/>
          <w:szCs w:val="28"/>
        </w:rPr>
        <w:t xml:space="preserve">Report upon expiration of the additional period </w:t>
      </w:r>
    </w:p>
    <w:p w:rsidRPr="0095190C" w:rsidR="00B52BCC" w:rsidP="0010540B" w:rsidRDefault="00B52BCC" w14:paraId="0284CB13" w14:textId="5C2D655E">
      <w:pPr>
        <w:jc w:val="center"/>
        <w:rPr>
          <w:b/>
          <w:sz w:val="28"/>
          <w:szCs w:val="28"/>
        </w:rPr>
      </w:pPr>
      <w:r w:rsidRPr="0095190C">
        <w:rPr>
          <w:b/>
          <w:sz w:val="28"/>
          <w:szCs w:val="28"/>
        </w:rPr>
        <w:t>for fulfilling commitments</w:t>
      </w:r>
      <w:r w:rsidR="00694C90">
        <w:rPr>
          <w:b/>
          <w:sz w:val="28"/>
          <w:szCs w:val="28"/>
        </w:rPr>
        <w:t xml:space="preserve"> for the second commitment period of </w:t>
      </w:r>
      <w:r w:rsidR="00B658E6">
        <w:rPr>
          <w:b/>
          <w:sz w:val="28"/>
          <w:szCs w:val="28"/>
        </w:rPr>
        <w:br/>
      </w:r>
      <w:r w:rsidR="00694C90">
        <w:rPr>
          <w:b/>
          <w:sz w:val="28"/>
          <w:szCs w:val="28"/>
        </w:rPr>
        <w:t>the Kyoto Protocol</w:t>
      </w:r>
      <w:r w:rsidRPr="0095190C">
        <w:rPr>
          <w:b/>
          <w:sz w:val="28"/>
          <w:szCs w:val="28"/>
        </w:rPr>
        <w:t xml:space="preserve"> </w:t>
      </w:r>
      <w:r w:rsidRPr="0095190C" w:rsidR="00652716">
        <w:rPr>
          <w:b/>
          <w:sz w:val="28"/>
          <w:szCs w:val="28"/>
        </w:rPr>
        <w:t>by</w:t>
      </w:r>
      <w:r w:rsidRPr="0095190C">
        <w:rPr>
          <w:b/>
          <w:sz w:val="28"/>
          <w:szCs w:val="28"/>
        </w:rPr>
        <w:t xml:space="preserve"> </w:t>
      </w:r>
      <w:r w:rsidR="00F11F13">
        <w:rPr>
          <w:b/>
          <w:sz w:val="28"/>
          <w:szCs w:val="28"/>
        </w:rPr>
        <w:t>United Kingdom</w:t>
      </w:r>
    </w:p>
    <w:p w:rsidR="00B52BCC" w:rsidP="00B52BCC" w:rsidRDefault="00B52BCC" w14:paraId="0284CB14" w14:textId="77777777">
      <w:pPr>
        <w:jc w:val="center"/>
        <w:rPr>
          <w:b/>
          <w:sz w:val="22"/>
          <w:szCs w:val="22"/>
        </w:rPr>
      </w:pPr>
    </w:p>
    <w:p w:rsidRPr="00556E2F" w:rsidR="00EF5F0C" w:rsidP="00B52BCC" w:rsidRDefault="00EF5F0C" w14:paraId="118209DD" w14:textId="77777777">
      <w:pPr>
        <w:jc w:val="center"/>
        <w:rPr>
          <w:b/>
          <w:sz w:val="22"/>
          <w:szCs w:val="22"/>
        </w:rPr>
      </w:pPr>
    </w:p>
    <w:p w:rsidRPr="00556E2F" w:rsidR="00B52BCC" w:rsidP="1AAC11D3" w:rsidRDefault="00B52BCC" w14:paraId="0284CB15" w14:textId="2EB230CD">
      <w:pPr>
        <w:jc w:val="center"/>
        <w:rPr>
          <w:i/>
          <w:iCs/>
          <w:sz w:val="22"/>
          <w:szCs w:val="22"/>
          <w:highlight w:val="cyan"/>
        </w:rPr>
      </w:pPr>
    </w:p>
    <w:p w:rsidRPr="00B872F3" w:rsidR="008571F1" w:rsidP="00581594" w:rsidRDefault="00B52BCC" w14:paraId="0284CB17" w14:textId="77777777">
      <w:pPr>
        <w:pStyle w:val="ListParagraph"/>
        <w:spacing w:line="264" w:lineRule="auto"/>
        <w:ind w:left="0"/>
        <w:rPr>
          <w:b/>
          <w:sz w:val="6"/>
          <w:szCs w:val="22"/>
        </w:rPr>
      </w:pPr>
      <w:r w:rsidRPr="00556E2F">
        <w:rPr>
          <w:b/>
          <w:sz w:val="22"/>
          <w:szCs w:val="22"/>
        </w:rPr>
        <w:br w:type="page"/>
      </w:r>
    </w:p>
    <w:p w:rsidRPr="00581594" w:rsidR="00A92CBA" w:rsidP="00EF5F0C" w:rsidRDefault="00A92CBA" w14:paraId="0284CB18" w14:textId="77777777">
      <w:pPr>
        <w:pStyle w:val="Heading1"/>
      </w:pPr>
      <w:r>
        <w:t>Introduction</w:t>
      </w:r>
    </w:p>
    <w:p w:rsidR="00AB62C6" w:rsidP="00581594" w:rsidRDefault="00285ED4" w14:paraId="0284CB1A" w14:textId="2D2F03BD">
      <w:pPr>
        <w:pStyle w:val="ListParagraph"/>
        <w:numPr>
          <w:ilvl w:val="0"/>
          <w:numId w:val="2"/>
        </w:numPr>
        <w:spacing w:line="264" w:lineRule="auto"/>
        <w:ind w:left="709" w:hanging="425"/>
        <w:jc w:val="both"/>
        <w:rPr>
          <w:sz w:val="22"/>
          <w:szCs w:val="22"/>
        </w:rPr>
      </w:pPr>
      <w:r w:rsidRPr="008040B2">
        <w:rPr>
          <w:sz w:val="22"/>
          <w:szCs w:val="22"/>
        </w:rPr>
        <w:t xml:space="preserve">This </w:t>
      </w:r>
      <w:r w:rsidR="004C2AFD">
        <w:rPr>
          <w:sz w:val="22"/>
          <w:szCs w:val="22"/>
        </w:rPr>
        <w:t xml:space="preserve">report, </w:t>
      </w:r>
      <w:r w:rsidRPr="008040B2" w:rsidR="004C2AFD">
        <w:rPr>
          <w:sz w:val="22"/>
          <w:szCs w:val="22"/>
        </w:rPr>
        <w:t>submi</w:t>
      </w:r>
      <w:r w:rsidR="004C2AFD">
        <w:rPr>
          <w:sz w:val="22"/>
          <w:szCs w:val="22"/>
        </w:rPr>
        <w:t>tted</w:t>
      </w:r>
      <w:r w:rsidRPr="008040B2" w:rsidR="004C2AFD">
        <w:rPr>
          <w:sz w:val="22"/>
          <w:szCs w:val="22"/>
        </w:rPr>
        <w:t xml:space="preserve"> </w:t>
      </w:r>
      <w:r w:rsidRPr="008040B2">
        <w:rPr>
          <w:sz w:val="22"/>
          <w:szCs w:val="22"/>
        </w:rPr>
        <w:t xml:space="preserve">by </w:t>
      </w:r>
      <w:r w:rsidRPr="002E1EC1" w:rsidR="00F11F13">
        <w:rPr>
          <w:sz w:val="22"/>
          <w:szCs w:val="22"/>
        </w:rPr>
        <w:t>United Kingdom</w:t>
      </w:r>
      <w:r w:rsidRPr="008040B2">
        <w:rPr>
          <w:sz w:val="22"/>
          <w:szCs w:val="22"/>
        </w:rPr>
        <w:t xml:space="preserve"> </w:t>
      </w:r>
      <w:r w:rsidRPr="008040B2" w:rsidR="004C2AFD">
        <w:rPr>
          <w:sz w:val="22"/>
          <w:szCs w:val="22"/>
        </w:rPr>
        <w:t>o</w:t>
      </w:r>
      <w:r w:rsidR="004C2AFD">
        <w:rPr>
          <w:sz w:val="22"/>
          <w:szCs w:val="22"/>
        </w:rPr>
        <w:t>n</w:t>
      </w:r>
      <w:r w:rsidRPr="008040B2" w:rsidR="004C2AFD">
        <w:rPr>
          <w:sz w:val="22"/>
          <w:szCs w:val="22"/>
        </w:rPr>
        <w:t xml:space="preserve"> </w:t>
      </w:r>
      <w:r w:rsidRPr="1AAC11D3" w:rsidR="00F11F13">
        <w:rPr>
          <w:sz w:val="22"/>
          <w:szCs w:val="22"/>
        </w:rPr>
        <w:t>24</w:t>
      </w:r>
      <w:r w:rsidRPr="1AAC11D3">
        <w:rPr>
          <w:sz w:val="22"/>
          <w:szCs w:val="22"/>
        </w:rPr>
        <w:t xml:space="preserve"> </w:t>
      </w:r>
      <w:r w:rsidRPr="1AAC11D3" w:rsidR="00F11F13">
        <w:rPr>
          <w:sz w:val="22"/>
          <w:szCs w:val="22"/>
        </w:rPr>
        <w:t>October</w:t>
      </w:r>
      <w:r w:rsidRPr="1AAC11D3">
        <w:rPr>
          <w:sz w:val="22"/>
          <w:szCs w:val="22"/>
        </w:rPr>
        <w:t xml:space="preserve"> </w:t>
      </w:r>
      <w:r w:rsidRPr="1AAC11D3" w:rsidR="00035421">
        <w:rPr>
          <w:sz w:val="22"/>
          <w:szCs w:val="22"/>
        </w:rPr>
        <w:t>2023</w:t>
      </w:r>
      <w:r w:rsidR="004C2AFD">
        <w:rPr>
          <w:sz w:val="22"/>
          <w:szCs w:val="22"/>
        </w:rPr>
        <w:t>,</w:t>
      </w:r>
      <w:r w:rsidRPr="008040B2">
        <w:rPr>
          <w:sz w:val="22"/>
          <w:szCs w:val="22"/>
        </w:rPr>
        <w:t xml:space="preserve"> </w:t>
      </w:r>
      <w:r w:rsidR="00864782">
        <w:rPr>
          <w:sz w:val="22"/>
          <w:szCs w:val="22"/>
        </w:rPr>
        <w:t>contain</w:t>
      </w:r>
      <w:r w:rsidRPr="008040B2">
        <w:rPr>
          <w:sz w:val="22"/>
          <w:szCs w:val="22"/>
        </w:rPr>
        <w:t xml:space="preserve">s the information required to be reported upon </w:t>
      </w:r>
      <w:r w:rsidRPr="008040B2" w:rsidR="0077768F">
        <w:rPr>
          <w:sz w:val="22"/>
          <w:szCs w:val="22"/>
        </w:rPr>
        <w:t xml:space="preserve">the </w:t>
      </w:r>
      <w:r w:rsidRPr="008040B2">
        <w:rPr>
          <w:sz w:val="22"/>
          <w:szCs w:val="22"/>
        </w:rPr>
        <w:t xml:space="preserve">expiration of the additional period for fulfilling commitments for the </w:t>
      </w:r>
      <w:r w:rsidR="00742D43">
        <w:rPr>
          <w:sz w:val="22"/>
          <w:szCs w:val="22"/>
        </w:rPr>
        <w:t>second</w:t>
      </w:r>
      <w:r w:rsidRPr="008040B2" w:rsidR="00742D43">
        <w:rPr>
          <w:sz w:val="22"/>
          <w:szCs w:val="22"/>
        </w:rPr>
        <w:t xml:space="preserve"> </w:t>
      </w:r>
      <w:r w:rsidRPr="008040B2">
        <w:rPr>
          <w:sz w:val="22"/>
          <w:szCs w:val="22"/>
        </w:rPr>
        <w:t>commitment period of the Kyoto Protocol</w:t>
      </w:r>
      <w:r w:rsidRPr="008040B2" w:rsidR="0077768F">
        <w:rPr>
          <w:sz w:val="22"/>
          <w:szCs w:val="22"/>
        </w:rPr>
        <w:t xml:space="preserve"> (hereinafter referred to as the true-up </w:t>
      </w:r>
      <w:r w:rsidRPr="008040B2" w:rsidR="007559C1">
        <w:rPr>
          <w:sz w:val="22"/>
          <w:szCs w:val="22"/>
        </w:rPr>
        <w:t>period</w:t>
      </w:r>
      <w:r w:rsidRPr="008040B2" w:rsidR="0077768F">
        <w:rPr>
          <w:sz w:val="22"/>
          <w:szCs w:val="22"/>
        </w:rPr>
        <w:t>)</w:t>
      </w:r>
      <w:r w:rsidR="00150D56">
        <w:rPr>
          <w:sz w:val="22"/>
          <w:szCs w:val="22"/>
        </w:rPr>
        <w:t>,</w:t>
      </w:r>
      <w:r w:rsidRPr="008040B2" w:rsidR="007559C1">
        <w:rPr>
          <w:rStyle w:val="FootnoteReference"/>
          <w:sz w:val="22"/>
          <w:szCs w:val="22"/>
        </w:rPr>
        <w:footnoteReference w:id="2"/>
      </w:r>
      <w:r w:rsidRPr="008040B2">
        <w:rPr>
          <w:sz w:val="22"/>
          <w:szCs w:val="22"/>
        </w:rPr>
        <w:t xml:space="preserve"> in accordance with </w:t>
      </w:r>
      <w:r w:rsidR="00C31C69">
        <w:rPr>
          <w:sz w:val="22"/>
          <w:szCs w:val="22"/>
        </w:rPr>
        <w:t xml:space="preserve">the relevant </w:t>
      </w:r>
      <w:r w:rsidRPr="008040B2" w:rsidR="00B52BCC">
        <w:rPr>
          <w:sz w:val="22"/>
          <w:szCs w:val="22"/>
        </w:rPr>
        <w:t>decisions</w:t>
      </w:r>
      <w:r w:rsidRPr="00C31C69" w:rsidR="00C31C69">
        <w:rPr>
          <w:sz w:val="22"/>
          <w:szCs w:val="22"/>
        </w:rPr>
        <w:t xml:space="preserve"> </w:t>
      </w:r>
      <w:r w:rsidR="00C31C69">
        <w:rPr>
          <w:sz w:val="22"/>
          <w:szCs w:val="22"/>
        </w:rPr>
        <w:t>of the Conference of the Parties serving as the meeting of the Parties to the Kyoto Protocol.</w:t>
      </w:r>
      <w:r w:rsidR="00C31C69">
        <w:rPr>
          <w:rStyle w:val="FootnoteReference"/>
          <w:sz w:val="22"/>
          <w:szCs w:val="22"/>
        </w:rPr>
        <w:footnoteReference w:id="3"/>
      </w:r>
      <w:r w:rsidRPr="008040B2" w:rsidR="00B52BCC">
        <w:rPr>
          <w:sz w:val="22"/>
          <w:szCs w:val="22"/>
        </w:rPr>
        <w:t xml:space="preserve"> </w:t>
      </w:r>
    </w:p>
    <w:p w:rsidR="0063764C" w:rsidP="00581594" w:rsidRDefault="0063764C" w14:paraId="0284CB1B" w14:textId="32E79939">
      <w:pPr>
        <w:pStyle w:val="ListParagraph"/>
        <w:numPr>
          <w:ilvl w:val="0"/>
          <w:numId w:val="2"/>
        </w:numPr>
        <w:spacing w:line="264" w:lineRule="auto"/>
        <w:ind w:left="709" w:hanging="425"/>
        <w:jc w:val="both"/>
        <w:rPr>
          <w:sz w:val="22"/>
          <w:szCs w:val="22"/>
        </w:rPr>
      </w:pPr>
      <w:r w:rsidRPr="1AAC11D3">
        <w:rPr>
          <w:sz w:val="22"/>
          <w:szCs w:val="22"/>
        </w:rPr>
        <w:t xml:space="preserve">The information contained in this report covers the period 1 January </w:t>
      </w:r>
      <w:r w:rsidRPr="1AAC11D3" w:rsidR="00377D47">
        <w:rPr>
          <w:sz w:val="22"/>
          <w:szCs w:val="22"/>
        </w:rPr>
        <w:t xml:space="preserve">2022 </w:t>
      </w:r>
      <w:r w:rsidRPr="1AAC11D3" w:rsidR="004C2AFD">
        <w:rPr>
          <w:sz w:val="22"/>
          <w:szCs w:val="22"/>
        </w:rPr>
        <w:t xml:space="preserve">to </w:t>
      </w:r>
      <w:r w:rsidRPr="1AAC11D3" w:rsidR="00541C65">
        <w:rPr>
          <w:sz w:val="22"/>
          <w:szCs w:val="22"/>
        </w:rPr>
        <w:t>9 September 2023</w:t>
      </w:r>
      <w:r w:rsidRPr="1AAC11D3" w:rsidR="00D84AC5">
        <w:rPr>
          <w:sz w:val="22"/>
          <w:szCs w:val="22"/>
        </w:rPr>
        <w:t>,</w:t>
      </w:r>
      <w:r w:rsidRPr="1AAC11D3" w:rsidR="002A7F90">
        <w:rPr>
          <w:sz w:val="22"/>
          <w:szCs w:val="22"/>
        </w:rPr>
        <w:t xml:space="preserve"> in </w:t>
      </w:r>
      <w:r w:rsidRPr="1AAC11D3" w:rsidR="00B058FA">
        <w:rPr>
          <w:sz w:val="22"/>
          <w:szCs w:val="22"/>
        </w:rPr>
        <w:t xml:space="preserve">accordance with </w:t>
      </w:r>
      <w:r w:rsidRPr="1AAC11D3" w:rsidR="00712482">
        <w:rPr>
          <w:sz w:val="22"/>
          <w:szCs w:val="22"/>
        </w:rPr>
        <w:t xml:space="preserve">decision 15/CMP.1, annex, </w:t>
      </w:r>
      <w:r w:rsidRPr="1AAC11D3" w:rsidR="00B058FA">
        <w:rPr>
          <w:sz w:val="22"/>
          <w:szCs w:val="22"/>
        </w:rPr>
        <w:t>paragraph 20</w:t>
      </w:r>
      <w:r w:rsidRPr="1AAC11D3" w:rsidR="000C7AB9">
        <w:rPr>
          <w:sz w:val="22"/>
          <w:szCs w:val="22"/>
        </w:rPr>
        <w:t>, in conjunction with decision 3/CMP.11</w:t>
      </w:r>
      <w:r w:rsidRPr="1AAC11D3">
        <w:rPr>
          <w:sz w:val="22"/>
          <w:szCs w:val="22"/>
        </w:rPr>
        <w:t>.</w:t>
      </w:r>
    </w:p>
    <w:p w:rsidR="001560E6" w:rsidP="00581594" w:rsidRDefault="001560E6" w14:paraId="0284CB1C" w14:textId="75A64E57">
      <w:pPr>
        <w:pStyle w:val="ListParagraph"/>
        <w:numPr>
          <w:ilvl w:val="0"/>
          <w:numId w:val="2"/>
        </w:numPr>
        <w:spacing w:line="264" w:lineRule="auto"/>
        <w:ind w:left="709" w:hanging="425"/>
        <w:jc w:val="both"/>
        <w:rPr>
          <w:sz w:val="22"/>
          <w:szCs w:val="22"/>
        </w:rPr>
      </w:pPr>
      <w:r>
        <w:rPr>
          <w:sz w:val="22"/>
          <w:szCs w:val="22"/>
        </w:rPr>
        <w:t>The</w:t>
      </w:r>
      <w:r w:rsidRPr="008040B2">
        <w:rPr>
          <w:sz w:val="22"/>
          <w:szCs w:val="22"/>
        </w:rPr>
        <w:t xml:space="preserve"> information required to be included in th</w:t>
      </w:r>
      <w:r w:rsidR="00150D56">
        <w:rPr>
          <w:sz w:val="22"/>
          <w:szCs w:val="22"/>
        </w:rPr>
        <w:t>e</w:t>
      </w:r>
      <w:r w:rsidRPr="008040B2">
        <w:rPr>
          <w:sz w:val="22"/>
          <w:szCs w:val="22"/>
        </w:rPr>
        <w:t xml:space="preserve"> report is presented using the standard electronic format (SEF) tables</w:t>
      </w:r>
      <w:r w:rsidR="00EF5F0C">
        <w:rPr>
          <w:sz w:val="22"/>
          <w:szCs w:val="22"/>
        </w:rPr>
        <w:t xml:space="preserve"> included in Annex II to decision 3/CMP.11.</w:t>
      </w:r>
    </w:p>
    <w:p w:rsidRPr="00556E2F" w:rsidR="001560E6" w:rsidP="00581594" w:rsidRDefault="001560E6" w14:paraId="0284CB1D" w14:textId="4547BB7E">
      <w:pPr>
        <w:pStyle w:val="ListParagraph"/>
        <w:numPr>
          <w:ilvl w:val="0"/>
          <w:numId w:val="2"/>
        </w:numPr>
        <w:spacing w:line="264" w:lineRule="auto"/>
        <w:ind w:left="709" w:hanging="425"/>
        <w:jc w:val="both"/>
        <w:rPr>
          <w:sz w:val="22"/>
          <w:szCs w:val="22"/>
        </w:rPr>
      </w:pPr>
      <w:r w:rsidRPr="00556E2F">
        <w:rPr>
          <w:sz w:val="22"/>
          <w:szCs w:val="22"/>
        </w:rPr>
        <w:t xml:space="preserve">In addition to the SEF tables, </w:t>
      </w:r>
      <w:r>
        <w:rPr>
          <w:sz w:val="22"/>
          <w:szCs w:val="22"/>
        </w:rPr>
        <w:t>the</w:t>
      </w:r>
      <w:r w:rsidRPr="00556E2F">
        <w:rPr>
          <w:sz w:val="22"/>
          <w:szCs w:val="22"/>
        </w:rPr>
        <w:t xml:space="preserve"> information required to be included in </w:t>
      </w:r>
      <w:r>
        <w:rPr>
          <w:sz w:val="22"/>
          <w:szCs w:val="22"/>
        </w:rPr>
        <w:t>th</w:t>
      </w:r>
      <w:r w:rsidR="00150D56">
        <w:rPr>
          <w:sz w:val="22"/>
          <w:szCs w:val="22"/>
        </w:rPr>
        <w:t>e</w:t>
      </w:r>
      <w:r w:rsidRPr="00556E2F">
        <w:rPr>
          <w:sz w:val="22"/>
          <w:szCs w:val="22"/>
        </w:rPr>
        <w:t xml:space="preserve"> report</w:t>
      </w:r>
      <w:r>
        <w:rPr>
          <w:sz w:val="22"/>
          <w:szCs w:val="22"/>
        </w:rPr>
        <w:t xml:space="preserve"> in accordance with </w:t>
      </w:r>
      <w:r w:rsidRPr="008040B2">
        <w:rPr>
          <w:sz w:val="22"/>
          <w:szCs w:val="22"/>
        </w:rPr>
        <w:t>decision 1</w:t>
      </w:r>
      <w:r>
        <w:rPr>
          <w:sz w:val="22"/>
          <w:szCs w:val="22"/>
        </w:rPr>
        <w:t>5</w:t>
      </w:r>
      <w:r w:rsidRPr="008040B2">
        <w:rPr>
          <w:sz w:val="22"/>
          <w:szCs w:val="22"/>
        </w:rPr>
        <w:t>/CMP</w:t>
      </w:r>
      <w:r>
        <w:rPr>
          <w:sz w:val="22"/>
          <w:szCs w:val="22"/>
        </w:rPr>
        <w:t>.1</w:t>
      </w:r>
      <w:r w:rsidR="004C2AFD">
        <w:rPr>
          <w:sz w:val="22"/>
          <w:szCs w:val="22"/>
        </w:rPr>
        <w:t>,</w:t>
      </w:r>
      <w:r w:rsidRPr="00556E2F">
        <w:rPr>
          <w:sz w:val="22"/>
          <w:szCs w:val="22"/>
        </w:rPr>
        <w:t xml:space="preserve"> </w:t>
      </w:r>
      <w:r w:rsidRPr="008040B2" w:rsidR="004C2AFD">
        <w:rPr>
          <w:sz w:val="22"/>
          <w:szCs w:val="22"/>
        </w:rPr>
        <w:t>annex</w:t>
      </w:r>
      <w:r w:rsidR="004C2AFD">
        <w:rPr>
          <w:sz w:val="22"/>
          <w:szCs w:val="22"/>
        </w:rPr>
        <w:t>,</w:t>
      </w:r>
      <w:r w:rsidRPr="004C2AFD" w:rsidR="004C2AFD">
        <w:rPr>
          <w:sz w:val="22"/>
          <w:szCs w:val="22"/>
        </w:rPr>
        <w:t xml:space="preserve"> </w:t>
      </w:r>
      <w:r w:rsidRPr="008040B2" w:rsidR="004C2AFD">
        <w:rPr>
          <w:sz w:val="22"/>
          <w:szCs w:val="22"/>
        </w:rPr>
        <w:t>paragraph</w:t>
      </w:r>
      <w:r w:rsidR="004C2AFD">
        <w:rPr>
          <w:sz w:val="22"/>
          <w:szCs w:val="22"/>
        </w:rPr>
        <w:t>s</w:t>
      </w:r>
      <w:r w:rsidRPr="008040B2" w:rsidR="004C2AFD">
        <w:rPr>
          <w:sz w:val="22"/>
          <w:szCs w:val="22"/>
        </w:rPr>
        <w:t xml:space="preserve"> </w:t>
      </w:r>
      <w:r w:rsidR="004C2AFD">
        <w:rPr>
          <w:sz w:val="22"/>
          <w:szCs w:val="22"/>
        </w:rPr>
        <w:t>12</w:t>
      </w:r>
      <w:r w:rsidRPr="00556E2F" w:rsidR="004C2AFD">
        <w:rPr>
          <w:sz w:val="22"/>
          <w:szCs w:val="22"/>
        </w:rPr>
        <w:t>–</w:t>
      </w:r>
      <w:r w:rsidR="004C2AFD">
        <w:rPr>
          <w:sz w:val="22"/>
          <w:szCs w:val="22"/>
        </w:rPr>
        <w:t>16</w:t>
      </w:r>
      <w:r w:rsidR="000C7AB9">
        <w:rPr>
          <w:sz w:val="22"/>
          <w:szCs w:val="22"/>
        </w:rPr>
        <w:t>, in conjunction with decision 3/CMP.11</w:t>
      </w:r>
      <w:r w:rsidRPr="008040B2" w:rsidR="004C2AFD">
        <w:rPr>
          <w:sz w:val="22"/>
          <w:szCs w:val="22"/>
        </w:rPr>
        <w:t xml:space="preserve"> </w:t>
      </w:r>
      <w:r>
        <w:rPr>
          <w:sz w:val="22"/>
          <w:szCs w:val="22"/>
        </w:rPr>
        <w:t xml:space="preserve">is </w:t>
      </w:r>
      <w:r w:rsidR="00EF5F0C">
        <w:rPr>
          <w:sz w:val="22"/>
          <w:szCs w:val="22"/>
        </w:rPr>
        <w:t xml:space="preserve">also </w:t>
      </w:r>
      <w:r>
        <w:rPr>
          <w:sz w:val="22"/>
          <w:szCs w:val="22"/>
        </w:rPr>
        <w:t>presented</w:t>
      </w:r>
      <w:r w:rsidRPr="00556E2F">
        <w:rPr>
          <w:sz w:val="22"/>
          <w:szCs w:val="22"/>
        </w:rPr>
        <w:t xml:space="preserve"> in </w:t>
      </w:r>
      <w:r w:rsidR="00DF5626">
        <w:rPr>
          <w:sz w:val="22"/>
          <w:szCs w:val="22"/>
        </w:rPr>
        <w:t xml:space="preserve">the </w:t>
      </w:r>
      <w:r w:rsidRPr="00556E2F">
        <w:rPr>
          <w:sz w:val="22"/>
          <w:szCs w:val="22"/>
        </w:rPr>
        <w:t xml:space="preserve">reports </w:t>
      </w:r>
      <w:r w:rsidR="00DF5626">
        <w:rPr>
          <w:sz w:val="22"/>
          <w:szCs w:val="22"/>
        </w:rPr>
        <w:t xml:space="preserve">on: (a) discrepancies identified by the </w:t>
      </w:r>
      <w:r w:rsidRPr="00DF5626" w:rsidR="00DF5626">
        <w:rPr>
          <w:sz w:val="22"/>
          <w:szCs w:val="22"/>
        </w:rPr>
        <w:t>international transaction log</w:t>
      </w:r>
      <w:r w:rsidR="00DF5626">
        <w:rPr>
          <w:sz w:val="22"/>
          <w:szCs w:val="22"/>
        </w:rPr>
        <w:t xml:space="preserve"> (ITL); (b) notifications from the Executive Board of the </w:t>
      </w:r>
      <w:r w:rsidRPr="00DF5626" w:rsidR="00DF5626">
        <w:rPr>
          <w:sz w:val="22"/>
          <w:szCs w:val="22"/>
        </w:rPr>
        <w:t>clean development mechanism</w:t>
      </w:r>
      <w:r w:rsidR="00DF5626">
        <w:rPr>
          <w:sz w:val="22"/>
          <w:szCs w:val="22"/>
        </w:rPr>
        <w:t xml:space="preserve">; (c) </w:t>
      </w:r>
      <w:r w:rsidRPr="00DF5626" w:rsidR="00DF5626">
        <w:rPr>
          <w:sz w:val="22"/>
          <w:szCs w:val="22"/>
        </w:rPr>
        <w:t>record</w:t>
      </w:r>
      <w:r w:rsidR="00DF5626">
        <w:rPr>
          <w:sz w:val="22"/>
          <w:szCs w:val="22"/>
        </w:rPr>
        <w:t>s</w:t>
      </w:r>
      <w:r w:rsidRPr="00DF5626" w:rsidR="00DF5626">
        <w:rPr>
          <w:sz w:val="22"/>
          <w:szCs w:val="22"/>
        </w:rPr>
        <w:t xml:space="preserve"> of non-replacement identified by the </w:t>
      </w:r>
      <w:r w:rsidR="00DF5626">
        <w:rPr>
          <w:sz w:val="22"/>
          <w:szCs w:val="22"/>
        </w:rPr>
        <w:t>ITL;</w:t>
      </w:r>
      <w:r w:rsidRPr="00DF5626" w:rsidR="00DF5626">
        <w:rPr>
          <w:sz w:val="22"/>
          <w:szCs w:val="22"/>
        </w:rPr>
        <w:t xml:space="preserve"> </w:t>
      </w:r>
      <w:r w:rsidR="00DF5626">
        <w:rPr>
          <w:sz w:val="22"/>
          <w:szCs w:val="22"/>
        </w:rPr>
        <w:t xml:space="preserve">and (d) units in the national registry no valid towards compliance. These reports are usually known as </w:t>
      </w:r>
      <w:r w:rsidRPr="00556E2F">
        <w:rPr>
          <w:sz w:val="22"/>
          <w:szCs w:val="22"/>
        </w:rPr>
        <w:t>R2–R5</w:t>
      </w:r>
      <w:r w:rsidR="00DF5626">
        <w:rPr>
          <w:sz w:val="22"/>
          <w:szCs w:val="22"/>
        </w:rPr>
        <w:t xml:space="preserve"> reports respectively</w:t>
      </w:r>
      <w:r w:rsidR="00150D56">
        <w:rPr>
          <w:sz w:val="22"/>
          <w:szCs w:val="22"/>
        </w:rPr>
        <w:t>.</w:t>
      </w:r>
      <w:r w:rsidR="00F02E47">
        <w:rPr>
          <w:rStyle w:val="FootnoteReference"/>
          <w:sz w:val="22"/>
          <w:szCs w:val="22"/>
        </w:rPr>
        <w:footnoteReference w:id="4"/>
      </w:r>
    </w:p>
    <w:p w:rsidR="008D4D2C" w:rsidP="00EF5F0C" w:rsidRDefault="008D4D2C" w14:paraId="0284CB20" w14:textId="121FEF01">
      <w:pPr>
        <w:pStyle w:val="Heading1"/>
      </w:pPr>
      <w:r>
        <w:t xml:space="preserve">Information </w:t>
      </w:r>
      <w:r w:rsidR="00EF6F18">
        <w:t xml:space="preserve">provided </w:t>
      </w:r>
      <w:r w:rsidR="00C31C69">
        <w:t xml:space="preserve">before the submission of </w:t>
      </w:r>
      <w:r w:rsidR="00EF5F0C">
        <w:t xml:space="preserve">this </w:t>
      </w:r>
      <w:proofErr w:type="gramStart"/>
      <w:r w:rsidR="00C31C69">
        <w:t>report</w:t>
      </w:r>
      <w:proofErr w:type="gramEnd"/>
      <w:r w:rsidR="00C31C69">
        <w:t xml:space="preserve"> </w:t>
      </w:r>
    </w:p>
    <w:p w:rsidR="008D4D2C" w:rsidP="00581594" w:rsidRDefault="008D4D2C" w14:paraId="0284CB22" w14:textId="3A1A26F4">
      <w:pPr>
        <w:pStyle w:val="ListParagraph"/>
        <w:numPr>
          <w:ilvl w:val="0"/>
          <w:numId w:val="2"/>
        </w:numPr>
        <w:spacing w:line="264" w:lineRule="auto"/>
        <w:ind w:left="709" w:hanging="425"/>
        <w:jc w:val="both"/>
        <w:rPr>
          <w:sz w:val="22"/>
          <w:szCs w:val="22"/>
        </w:rPr>
      </w:pPr>
      <w:r w:rsidRPr="008040B2">
        <w:rPr>
          <w:sz w:val="22"/>
          <w:szCs w:val="22"/>
        </w:rPr>
        <w:t xml:space="preserve">The SEF tables </w:t>
      </w:r>
      <w:r>
        <w:rPr>
          <w:sz w:val="22"/>
          <w:szCs w:val="22"/>
        </w:rPr>
        <w:t xml:space="preserve">of </w:t>
      </w:r>
      <w:r w:rsidRPr="002E1EC1" w:rsidR="00F11F13">
        <w:rPr>
          <w:sz w:val="22"/>
          <w:szCs w:val="22"/>
        </w:rPr>
        <w:t>United Kingdom</w:t>
      </w:r>
      <w:r w:rsidRPr="002E1EC1">
        <w:rPr>
          <w:sz w:val="22"/>
          <w:szCs w:val="22"/>
        </w:rPr>
        <w:t xml:space="preserve"> (with</w:t>
      </w:r>
      <w:r w:rsidRPr="008040B2">
        <w:rPr>
          <w:sz w:val="22"/>
          <w:szCs w:val="22"/>
        </w:rPr>
        <w:t xml:space="preserve"> </w:t>
      </w:r>
      <w:r>
        <w:rPr>
          <w:sz w:val="22"/>
          <w:szCs w:val="22"/>
        </w:rPr>
        <w:t>the</w:t>
      </w:r>
      <w:r w:rsidRPr="008040B2">
        <w:rPr>
          <w:sz w:val="22"/>
          <w:szCs w:val="22"/>
        </w:rPr>
        <w:t xml:space="preserve"> file name</w:t>
      </w:r>
      <w:r w:rsidR="00E4784C">
        <w:rPr>
          <w:sz w:val="22"/>
          <w:szCs w:val="22"/>
        </w:rPr>
        <w:t xml:space="preserve"> </w:t>
      </w:r>
      <w:r w:rsidRPr="1AAC11D3" w:rsidR="00E4784C">
        <w:rPr>
          <w:sz w:val="22"/>
          <w:szCs w:val="22"/>
        </w:rPr>
        <w:t>RREG1_GB_2022_2_1</w:t>
      </w:r>
      <w:r w:rsidRPr="008040B2">
        <w:rPr>
          <w:sz w:val="22"/>
          <w:szCs w:val="22"/>
        </w:rPr>
        <w:t xml:space="preserve">) </w:t>
      </w:r>
      <w:r w:rsidR="00DF5626">
        <w:rPr>
          <w:sz w:val="22"/>
          <w:szCs w:val="22"/>
        </w:rPr>
        <w:t>for</w:t>
      </w:r>
      <w:r w:rsidRPr="008040B2">
        <w:rPr>
          <w:sz w:val="22"/>
          <w:szCs w:val="22"/>
        </w:rPr>
        <w:t xml:space="preserve"> the period</w:t>
      </w:r>
      <w:r>
        <w:rPr>
          <w:sz w:val="22"/>
          <w:szCs w:val="22"/>
        </w:rPr>
        <w:t xml:space="preserve"> </w:t>
      </w:r>
      <w:r w:rsidRPr="00712482">
        <w:rPr>
          <w:sz w:val="22"/>
          <w:szCs w:val="22"/>
        </w:rPr>
        <w:t>1 January</w:t>
      </w:r>
      <w:r>
        <w:rPr>
          <w:sz w:val="22"/>
          <w:szCs w:val="22"/>
        </w:rPr>
        <w:t xml:space="preserve"> </w:t>
      </w:r>
      <w:r w:rsidR="00150D56">
        <w:rPr>
          <w:sz w:val="22"/>
          <w:szCs w:val="22"/>
        </w:rPr>
        <w:t xml:space="preserve">to </w:t>
      </w:r>
      <w:r w:rsidRPr="00712482">
        <w:rPr>
          <w:sz w:val="22"/>
          <w:szCs w:val="22"/>
        </w:rPr>
        <w:t>3</w:t>
      </w:r>
      <w:r>
        <w:rPr>
          <w:sz w:val="22"/>
          <w:szCs w:val="22"/>
        </w:rPr>
        <w:t>1</w:t>
      </w:r>
      <w:r w:rsidRPr="00712482">
        <w:rPr>
          <w:sz w:val="22"/>
          <w:szCs w:val="22"/>
        </w:rPr>
        <w:t xml:space="preserve"> De</w:t>
      </w:r>
      <w:r>
        <w:rPr>
          <w:sz w:val="22"/>
          <w:szCs w:val="22"/>
        </w:rPr>
        <w:t>c</w:t>
      </w:r>
      <w:r w:rsidRPr="00712482">
        <w:rPr>
          <w:sz w:val="22"/>
          <w:szCs w:val="22"/>
        </w:rPr>
        <w:t xml:space="preserve">ember </w:t>
      </w:r>
      <w:r w:rsidR="00FB6C83">
        <w:rPr>
          <w:sz w:val="22"/>
          <w:szCs w:val="22"/>
        </w:rPr>
        <w:t xml:space="preserve">2022 </w:t>
      </w:r>
      <w:r w:rsidR="00150D56">
        <w:rPr>
          <w:sz w:val="22"/>
          <w:szCs w:val="22"/>
        </w:rPr>
        <w:t>have been</w:t>
      </w:r>
      <w:r w:rsidRPr="008040B2" w:rsidR="00150D56">
        <w:rPr>
          <w:sz w:val="22"/>
          <w:szCs w:val="22"/>
        </w:rPr>
        <w:t xml:space="preserve"> submitted</w:t>
      </w:r>
      <w:r w:rsidRPr="008D4D2C" w:rsidR="00150D56">
        <w:rPr>
          <w:sz w:val="22"/>
          <w:szCs w:val="22"/>
        </w:rPr>
        <w:t xml:space="preserve"> </w:t>
      </w:r>
      <w:r w:rsidR="00C31C69">
        <w:rPr>
          <w:sz w:val="22"/>
          <w:szCs w:val="22"/>
        </w:rPr>
        <w:t>previously</w:t>
      </w:r>
      <w:r w:rsidR="576EDF42">
        <w:rPr>
          <w:sz w:val="22"/>
          <w:szCs w:val="22"/>
        </w:rPr>
        <w:t>.</w:t>
      </w:r>
      <w:r w:rsidRPr="1AAC11D3" w:rsidR="00EC2541">
        <w:rPr>
          <w:sz w:val="22"/>
          <w:szCs w:val="22"/>
        </w:rPr>
        <w:t xml:space="preserve"> A transaction reversal took place after this SEF was produced. This required a new SEF as requested by </w:t>
      </w:r>
      <w:r w:rsidRPr="1AAC11D3" w:rsidR="4B308BB2">
        <w:rPr>
          <w:sz w:val="22"/>
          <w:szCs w:val="22"/>
        </w:rPr>
        <w:t xml:space="preserve">the </w:t>
      </w:r>
      <w:r w:rsidRPr="1AAC11D3" w:rsidR="00EC2541">
        <w:rPr>
          <w:sz w:val="22"/>
          <w:szCs w:val="22"/>
        </w:rPr>
        <w:t xml:space="preserve">UNFCCC. A new SEF (with file name RREG1_GB_2022_2_2) is now available </w:t>
      </w:r>
      <w:r w:rsidRPr="1AAC11D3" w:rsidR="4B851663">
        <w:rPr>
          <w:sz w:val="22"/>
          <w:szCs w:val="22"/>
        </w:rPr>
        <w:t xml:space="preserve">and can be found at </w:t>
      </w:r>
      <w:hyperlink r:id="rId12">
        <w:r w:rsidRPr="1AAC11D3" w:rsidR="4B851663">
          <w:rPr>
            <w:rStyle w:val="Hyperlink"/>
            <w:sz w:val="22"/>
            <w:szCs w:val="22"/>
          </w:rPr>
          <w:t>https://unfccc.int/documents/627802</w:t>
        </w:r>
      </w:hyperlink>
      <w:r w:rsidRPr="1AAC11D3" w:rsidR="4B851663">
        <w:rPr>
          <w:sz w:val="22"/>
          <w:szCs w:val="22"/>
        </w:rPr>
        <w:t>.</w:t>
      </w:r>
      <w:r w:rsidRPr="1AAC11D3">
        <w:rPr>
          <w:rStyle w:val="FootnoteReference"/>
          <w:sz w:val="22"/>
          <w:szCs w:val="22"/>
        </w:rPr>
        <w:footnoteReference w:id="5"/>
      </w:r>
    </w:p>
    <w:p w:rsidRPr="006958BF" w:rsidR="001E265A" w:rsidRDefault="001E265A" w14:paraId="5B27C301" w14:textId="2471358D">
      <w:pPr>
        <w:pStyle w:val="ListParagraph"/>
        <w:numPr>
          <w:ilvl w:val="0"/>
          <w:numId w:val="2"/>
        </w:numPr>
        <w:spacing w:line="264" w:lineRule="auto"/>
        <w:ind w:left="709" w:hanging="425"/>
        <w:jc w:val="both"/>
        <w:rPr>
          <w:sz w:val="22"/>
          <w:szCs w:val="22"/>
        </w:rPr>
      </w:pPr>
      <w:r w:rsidRPr="1AAC11D3">
        <w:rPr>
          <w:sz w:val="22"/>
          <w:szCs w:val="22"/>
        </w:rPr>
        <w:t xml:space="preserve">Information on discrepancies, ITL notifications, non-replacements and invalid units </w:t>
      </w:r>
      <w:r w:rsidRPr="1AAC11D3" w:rsidR="00DF5626">
        <w:rPr>
          <w:sz w:val="22"/>
          <w:szCs w:val="22"/>
        </w:rPr>
        <w:t xml:space="preserve">for </w:t>
      </w:r>
      <w:r w:rsidRPr="1AAC11D3">
        <w:rPr>
          <w:sz w:val="22"/>
          <w:szCs w:val="22"/>
        </w:rPr>
        <w:t xml:space="preserve">the period 1 January to 31 December 2022 has been submitted previously by </w:t>
      </w:r>
      <w:r w:rsidRPr="1AAC11D3" w:rsidR="00F11F13">
        <w:rPr>
          <w:sz w:val="22"/>
          <w:szCs w:val="22"/>
        </w:rPr>
        <w:t>United Kingdom</w:t>
      </w:r>
      <w:r w:rsidRPr="1AAC11D3">
        <w:rPr>
          <w:sz w:val="22"/>
          <w:szCs w:val="22"/>
        </w:rPr>
        <w:t xml:space="preserve"> as part of </w:t>
      </w:r>
      <w:r w:rsidRPr="1AAC11D3" w:rsidR="00377D47">
        <w:rPr>
          <w:sz w:val="22"/>
          <w:szCs w:val="22"/>
        </w:rPr>
        <w:t xml:space="preserve">its 2023 </w:t>
      </w:r>
      <w:r w:rsidRPr="1AAC11D3">
        <w:rPr>
          <w:sz w:val="22"/>
          <w:szCs w:val="22"/>
        </w:rPr>
        <w:t xml:space="preserve">NIR and can be found at </w:t>
      </w:r>
      <w:hyperlink r:id="rId13">
        <w:r w:rsidRPr="1AAC11D3" w:rsidR="44D75443">
          <w:rPr>
            <w:rStyle w:val="Hyperlink"/>
            <w:sz w:val="22"/>
            <w:szCs w:val="22"/>
          </w:rPr>
          <w:t>https://unfccc.int/documents/627789.</w:t>
        </w:r>
      </w:hyperlink>
    </w:p>
    <w:p w:rsidRPr="00EF5F0C" w:rsidR="00BF13D6" w:rsidP="00EF5F0C" w:rsidRDefault="00C818D2" w14:paraId="0284CB26" w14:textId="2BE6A01C">
      <w:pPr>
        <w:pStyle w:val="Heading1"/>
      </w:pPr>
      <w:r>
        <w:t>I</w:t>
      </w:r>
      <w:r w:rsidR="00BF13D6">
        <w:t xml:space="preserve">nformation </w:t>
      </w:r>
      <w:r w:rsidR="002732EA">
        <w:t>included in this</w:t>
      </w:r>
      <w:r w:rsidR="00253F75">
        <w:t xml:space="preserve"> </w:t>
      </w:r>
      <w:proofErr w:type="gramStart"/>
      <w:r w:rsidR="00253F75">
        <w:t>report</w:t>
      </w:r>
      <w:proofErr w:type="gramEnd"/>
    </w:p>
    <w:p w:rsidRPr="00EA0C9B" w:rsidR="00C818D2" w:rsidP="1AAC11D3" w:rsidRDefault="00AB62C6" w14:paraId="0284CB28" w14:textId="52374196">
      <w:pPr>
        <w:pStyle w:val="ListParagraph"/>
        <w:numPr>
          <w:ilvl w:val="0"/>
          <w:numId w:val="2"/>
        </w:numPr>
        <w:spacing w:line="264" w:lineRule="auto"/>
        <w:ind w:left="709" w:hanging="425"/>
        <w:jc w:val="both"/>
        <w:rPr>
          <w:sz w:val="22"/>
          <w:szCs w:val="22"/>
        </w:rPr>
      </w:pPr>
      <w:r w:rsidRPr="1AAC11D3">
        <w:rPr>
          <w:sz w:val="22"/>
          <w:szCs w:val="22"/>
        </w:rPr>
        <w:t>The SEF tables</w:t>
      </w:r>
      <w:r w:rsidRPr="1AAC11D3" w:rsidR="005F1C1E">
        <w:rPr>
          <w:sz w:val="22"/>
          <w:szCs w:val="22"/>
        </w:rPr>
        <w:t xml:space="preserve"> </w:t>
      </w:r>
      <w:r w:rsidRPr="1AAC11D3" w:rsidR="00D30BA0">
        <w:rPr>
          <w:sz w:val="22"/>
          <w:szCs w:val="22"/>
        </w:rPr>
        <w:t xml:space="preserve">of </w:t>
      </w:r>
      <w:r w:rsidRPr="1AAC11D3" w:rsidR="00F11F13">
        <w:rPr>
          <w:sz w:val="22"/>
          <w:szCs w:val="22"/>
        </w:rPr>
        <w:t>United Kingdom</w:t>
      </w:r>
      <w:r w:rsidRPr="1AAC11D3" w:rsidR="00D30BA0">
        <w:rPr>
          <w:sz w:val="22"/>
          <w:szCs w:val="22"/>
        </w:rPr>
        <w:t xml:space="preserve"> </w:t>
      </w:r>
      <w:r w:rsidRPr="1AAC11D3" w:rsidR="005F1C1E">
        <w:rPr>
          <w:sz w:val="22"/>
          <w:szCs w:val="22"/>
        </w:rPr>
        <w:t xml:space="preserve">(with </w:t>
      </w:r>
      <w:r w:rsidRPr="1AAC11D3" w:rsidR="009A636D">
        <w:rPr>
          <w:sz w:val="22"/>
          <w:szCs w:val="22"/>
        </w:rPr>
        <w:t>the</w:t>
      </w:r>
      <w:r w:rsidRPr="1AAC11D3" w:rsidR="005F1C1E">
        <w:rPr>
          <w:sz w:val="22"/>
          <w:szCs w:val="22"/>
        </w:rPr>
        <w:t xml:space="preserve"> file name </w:t>
      </w:r>
      <w:r w:rsidRPr="53AD5C39" w:rsidR="77ACF720">
        <w:rPr>
          <w:sz w:val="22"/>
          <w:szCs w:val="22"/>
        </w:rPr>
        <w:t>RREG1_GB_2023_2_2</w:t>
      </w:r>
      <w:r w:rsidRPr="1AAC11D3" w:rsidR="00FF5816">
        <w:rPr>
          <w:sz w:val="22"/>
          <w:szCs w:val="22"/>
        </w:rPr>
        <w:t xml:space="preserve">) </w:t>
      </w:r>
      <w:r w:rsidRPr="1AAC11D3" w:rsidR="00DF5626">
        <w:rPr>
          <w:sz w:val="22"/>
          <w:szCs w:val="22"/>
        </w:rPr>
        <w:t>for</w:t>
      </w:r>
      <w:r w:rsidRPr="1AAC11D3">
        <w:rPr>
          <w:sz w:val="22"/>
          <w:szCs w:val="22"/>
        </w:rPr>
        <w:t xml:space="preserve"> the period</w:t>
      </w:r>
      <w:r w:rsidRPr="1AAC11D3" w:rsidR="008D4D2C">
        <w:rPr>
          <w:sz w:val="22"/>
          <w:szCs w:val="22"/>
        </w:rPr>
        <w:t xml:space="preserve"> 1 January </w:t>
      </w:r>
      <w:r w:rsidRPr="1AAC11D3" w:rsidR="00150D56">
        <w:rPr>
          <w:sz w:val="22"/>
          <w:szCs w:val="22"/>
        </w:rPr>
        <w:t xml:space="preserve">to </w:t>
      </w:r>
      <w:r w:rsidRPr="1AAC11D3" w:rsidR="00550820">
        <w:rPr>
          <w:sz w:val="22"/>
          <w:szCs w:val="22"/>
        </w:rPr>
        <w:t xml:space="preserve">9 </w:t>
      </w:r>
      <w:r w:rsidRPr="00EA0C9B" w:rsidR="00550820">
        <w:rPr>
          <w:sz w:val="22"/>
          <w:szCs w:val="22"/>
        </w:rPr>
        <w:t>September 2023</w:t>
      </w:r>
      <w:r w:rsidRPr="00EA0C9B" w:rsidR="008D4D2C">
        <w:rPr>
          <w:sz w:val="22"/>
          <w:szCs w:val="22"/>
        </w:rPr>
        <w:t xml:space="preserve"> </w:t>
      </w:r>
      <w:r w:rsidRPr="00EA0C9B" w:rsidR="00B42FAF">
        <w:rPr>
          <w:sz w:val="22"/>
          <w:szCs w:val="22"/>
        </w:rPr>
        <w:t xml:space="preserve">are </w:t>
      </w:r>
      <w:r w:rsidRPr="00EA0C9B" w:rsidR="00EF6F18">
        <w:rPr>
          <w:sz w:val="22"/>
          <w:szCs w:val="22"/>
        </w:rPr>
        <w:t>part of</w:t>
      </w:r>
      <w:r w:rsidRPr="00EA0C9B" w:rsidR="00B42FAF">
        <w:rPr>
          <w:sz w:val="22"/>
          <w:szCs w:val="22"/>
        </w:rPr>
        <w:t xml:space="preserve"> this report</w:t>
      </w:r>
      <w:r w:rsidRPr="00EA0C9B" w:rsidR="00B872F3">
        <w:rPr>
          <w:sz w:val="22"/>
          <w:szCs w:val="22"/>
        </w:rPr>
        <w:t>.</w:t>
      </w:r>
    </w:p>
    <w:p w:rsidRPr="00EA0C9B" w:rsidR="00A92CBA" w:rsidP="003C45B0" w:rsidRDefault="00A92CBA" w14:paraId="0284CB2A" w14:textId="24F2908B">
      <w:pPr>
        <w:pStyle w:val="ListParagraph"/>
        <w:numPr>
          <w:ilvl w:val="0"/>
          <w:numId w:val="2"/>
        </w:numPr>
        <w:spacing w:line="264" w:lineRule="auto"/>
        <w:ind w:left="709" w:hanging="425"/>
        <w:jc w:val="both"/>
        <w:rPr>
          <w:sz w:val="22"/>
          <w:szCs w:val="22"/>
        </w:rPr>
      </w:pPr>
      <w:r w:rsidRPr="00EA0C9B">
        <w:rPr>
          <w:sz w:val="22"/>
          <w:szCs w:val="22"/>
        </w:rPr>
        <w:t xml:space="preserve">The reports R2–R5 of </w:t>
      </w:r>
      <w:r w:rsidRPr="00EA0C9B" w:rsidR="00F11F13">
        <w:rPr>
          <w:sz w:val="22"/>
          <w:szCs w:val="22"/>
        </w:rPr>
        <w:t>United Kingdom</w:t>
      </w:r>
      <w:r w:rsidRPr="00EA0C9B">
        <w:rPr>
          <w:sz w:val="22"/>
          <w:szCs w:val="22"/>
        </w:rPr>
        <w:t xml:space="preserve"> (with the file name </w:t>
      </w:r>
      <w:r w:rsidRPr="00EA0C9B" w:rsidR="00017C5B">
        <w:rPr>
          <w:sz w:val="22"/>
          <w:szCs w:val="22"/>
        </w:rPr>
        <w:t>SIAR Reports 2023-GB v1.0</w:t>
      </w:r>
      <w:r w:rsidRPr="00EA0C9B">
        <w:rPr>
          <w:sz w:val="22"/>
          <w:szCs w:val="22"/>
        </w:rPr>
        <w:t xml:space="preserve">) </w:t>
      </w:r>
      <w:r w:rsidRPr="00EA0C9B" w:rsidR="00DF5626">
        <w:rPr>
          <w:sz w:val="22"/>
          <w:szCs w:val="22"/>
        </w:rPr>
        <w:t>for</w:t>
      </w:r>
      <w:r w:rsidRPr="00EA0C9B">
        <w:rPr>
          <w:sz w:val="22"/>
          <w:szCs w:val="22"/>
        </w:rPr>
        <w:t xml:space="preserve"> the period 1 January to 9 September 2023 are part of this report.</w:t>
      </w:r>
    </w:p>
    <w:p w:rsidRPr="00EA0C9B" w:rsidR="00253F75" w:rsidP="003C45B0" w:rsidRDefault="00EF6F18" w14:paraId="0284CB2D" w14:textId="3E7C068D">
      <w:pPr>
        <w:pStyle w:val="Heading1"/>
        <w:rPr>
          <w:bCs/>
        </w:rPr>
      </w:pPr>
      <w:r w:rsidRPr="00EA0C9B">
        <w:rPr>
          <w:bCs/>
        </w:rPr>
        <w:t>Other</w:t>
      </w:r>
      <w:r w:rsidRPr="00EA0C9B" w:rsidR="00253F75">
        <w:rPr>
          <w:bCs/>
        </w:rPr>
        <w:t xml:space="preserve"> information </w:t>
      </w:r>
      <w:r w:rsidRPr="00EA0C9B" w:rsidR="00302E5D">
        <w:rPr>
          <w:bCs/>
        </w:rPr>
        <w:t>included</w:t>
      </w:r>
      <w:r w:rsidRPr="00EA0C9B" w:rsidR="00253F75">
        <w:rPr>
          <w:bCs/>
        </w:rPr>
        <w:t xml:space="preserve"> in t</w:t>
      </w:r>
      <w:r w:rsidRPr="00EA0C9B" w:rsidR="00591F2F">
        <w:rPr>
          <w:bCs/>
        </w:rPr>
        <w:t>h</w:t>
      </w:r>
      <w:r w:rsidRPr="00EA0C9B" w:rsidR="00302E5D">
        <w:rPr>
          <w:bCs/>
        </w:rPr>
        <w:t>is</w:t>
      </w:r>
      <w:r w:rsidRPr="00EA0C9B" w:rsidR="00253F75">
        <w:rPr>
          <w:bCs/>
        </w:rPr>
        <w:t xml:space="preserve"> </w:t>
      </w:r>
      <w:proofErr w:type="gramStart"/>
      <w:r w:rsidRPr="00EA0C9B" w:rsidR="00253F75">
        <w:rPr>
          <w:bCs/>
        </w:rPr>
        <w:t>report</w:t>
      </w:r>
      <w:proofErr w:type="gramEnd"/>
    </w:p>
    <w:p w:rsidRPr="00EA0C9B" w:rsidR="00F25939" w:rsidP="003C45B0" w:rsidRDefault="00F25939" w14:paraId="0284CB31" w14:textId="4C6E9683">
      <w:pPr>
        <w:pStyle w:val="ListParagraph"/>
        <w:numPr>
          <w:ilvl w:val="1"/>
          <w:numId w:val="3"/>
        </w:numPr>
        <w:spacing w:line="264" w:lineRule="auto"/>
        <w:ind w:left="709" w:hanging="425"/>
        <w:jc w:val="both"/>
        <w:rPr>
          <w:b/>
          <w:bCs/>
          <w:sz w:val="22"/>
          <w:szCs w:val="22"/>
        </w:rPr>
      </w:pPr>
      <w:r w:rsidRPr="00EA0C9B">
        <w:rPr>
          <w:b/>
          <w:bCs/>
          <w:sz w:val="22"/>
          <w:szCs w:val="22"/>
        </w:rPr>
        <w:t xml:space="preserve">Information on </w:t>
      </w:r>
      <w:r w:rsidRPr="00EA0C9B" w:rsidR="00A13F8E">
        <w:rPr>
          <w:b/>
          <w:bCs/>
          <w:sz w:val="22"/>
          <w:szCs w:val="22"/>
        </w:rPr>
        <w:t xml:space="preserve">actions to correct </w:t>
      </w:r>
      <w:r w:rsidRPr="00EA0C9B" w:rsidR="00536302">
        <w:rPr>
          <w:b/>
          <w:bCs/>
          <w:sz w:val="22"/>
          <w:szCs w:val="22"/>
        </w:rPr>
        <w:t>d</w:t>
      </w:r>
      <w:r w:rsidRPr="00EA0C9B">
        <w:rPr>
          <w:b/>
          <w:bCs/>
          <w:sz w:val="22"/>
          <w:szCs w:val="22"/>
        </w:rPr>
        <w:t>iscrepancies</w:t>
      </w:r>
      <w:r w:rsidRPr="00EA0C9B" w:rsidR="00136984">
        <w:rPr>
          <w:b/>
          <w:bCs/>
          <w:sz w:val="22"/>
          <w:szCs w:val="22"/>
        </w:rPr>
        <w:t xml:space="preserve"> identified from 1 Jan</w:t>
      </w:r>
      <w:r w:rsidRPr="00EA0C9B" w:rsidR="00DF5626">
        <w:rPr>
          <w:b/>
          <w:bCs/>
          <w:sz w:val="22"/>
          <w:szCs w:val="22"/>
        </w:rPr>
        <w:t>uary</w:t>
      </w:r>
      <w:r w:rsidRPr="00EA0C9B" w:rsidR="00136984">
        <w:rPr>
          <w:b/>
          <w:bCs/>
          <w:sz w:val="22"/>
          <w:szCs w:val="22"/>
        </w:rPr>
        <w:t xml:space="preserve"> 2022 to 9 Sept</w:t>
      </w:r>
      <w:r w:rsidRPr="00EA0C9B" w:rsidR="00DF5626">
        <w:rPr>
          <w:b/>
          <w:bCs/>
          <w:sz w:val="22"/>
          <w:szCs w:val="22"/>
        </w:rPr>
        <w:t>ember</w:t>
      </w:r>
      <w:r w:rsidRPr="00EA0C9B" w:rsidR="00136984">
        <w:rPr>
          <w:b/>
          <w:bCs/>
          <w:sz w:val="22"/>
          <w:szCs w:val="22"/>
        </w:rPr>
        <w:t xml:space="preserve"> 2023</w:t>
      </w:r>
      <w:r w:rsidRPr="00EA0C9B" w:rsidR="00A13F8E">
        <w:rPr>
          <w:b/>
          <w:bCs/>
          <w:sz w:val="22"/>
          <w:szCs w:val="22"/>
        </w:rPr>
        <w:t>, changes to the national registry to prevent discrepancies from reoccurring</w:t>
      </w:r>
      <w:r w:rsidRPr="00EA0C9B" w:rsidR="00536302">
        <w:rPr>
          <w:b/>
          <w:bCs/>
          <w:sz w:val="22"/>
          <w:szCs w:val="22"/>
        </w:rPr>
        <w:t xml:space="preserve"> and resolution of previous questions of implementation pertaining to </w:t>
      </w:r>
      <w:proofErr w:type="gramStart"/>
      <w:r w:rsidRPr="00EA0C9B" w:rsidR="00536302">
        <w:rPr>
          <w:b/>
          <w:bCs/>
          <w:sz w:val="22"/>
          <w:szCs w:val="22"/>
        </w:rPr>
        <w:t>transactions</w:t>
      </w:r>
      <w:proofErr w:type="gramEnd"/>
    </w:p>
    <w:p w:rsidRPr="00EA0C9B" w:rsidR="00EF6F18" w:rsidP="003C45B0" w:rsidRDefault="007350AA" w14:paraId="0284CB35" w14:textId="5F10B4F6">
      <w:pPr>
        <w:pStyle w:val="ListParagraph"/>
        <w:numPr>
          <w:ilvl w:val="0"/>
          <w:numId w:val="2"/>
        </w:numPr>
        <w:spacing w:line="264" w:lineRule="auto"/>
        <w:ind w:left="709" w:hanging="425"/>
        <w:jc w:val="both"/>
        <w:rPr>
          <w:sz w:val="22"/>
          <w:szCs w:val="22"/>
        </w:rPr>
      </w:pPr>
      <w:bookmarkStart w:name="_Ref420602962" w:id="0"/>
      <w:r w:rsidRPr="00EA0C9B">
        <w:rPr>
          <w:sz w:val="22"/>
          <w:szCs w:val="22"/>
        </w:rPr>
        <w:t>I</w:t>
      </w:r>
      <w:r w:rsidRPr="00EA0C9B" w:rsidR="008F0A80">
        <w:rPr>
          <w:sz w:val="22"/>
          <w:szCs w:val="22"/>
        </w:rPr>
        <w:t>n conjunction with decision 3/CMP.11</w:t>
      </w:r>
      <w:r w:rsidRPr="00EA0C9B" w:rsidR="00EF6F18">
        <w:rPr>
          <w:sz w:val="22"/>
          <w:szCs w:val="22"/>
        </w:rPr>
        <w:t xml:space="preserve">, </w:t>
      </w:r>
      <w:r w:rsidRPr="00EA0C9B" w:rsidR="00F11F13">
        <w:rPr>
          <w:sz w:val="22"/>
          <w:szCs w:val="22"/>
        </w:rPr>
        <w:t>United Kingdom</w:t>
      </w:r>
      <w:r w:rsidRPr="00EA0C9B" w:rsidR="00EF6F18">
        <w:rPr>
          <w:sz w:val="22"/>
          <w:szCs w:val="22"/>
        </w:rPr>
        <w:t xml:space="preserve"> reports that no discrepancies have been identified by the </w:t>
      </w:r>
      <w:bookmarkEnd w:id="0"/>
      <w:r w:rsidRPr="00EA0C9B" w:rsidR="00DF5626">
        <w:rPr>
          <w:sz w:val="22"/>
          <w:szCs w:val="22"/>
        </w:rPr>
        <w:t>ITL</w:t>
      </w:r>
      <w:r w:rsidRPr="00EA0C9B" w:rsidR="00EF6F18">
        <w:rPr>
          <w:sz w:val="22"/>
          <w:szCs w:val="22"/>
        </w:rPr>
        <w:t xml:space="preserve"> during the period</w:t>
      </w:r>
      <w:r w:rsidRPr="00EA0C9B" w:rsidR="006306FF">
        <w:rPr>
          <w:sz w:val="22"/>
          <w:szCs w:val="22"/>
        </w:rPr>
        <w:t>s</w:t>
      </w:r>
      <w:r w:rsidRPr="00EA0C9B" w:rsidR="00EF6F18">
        <w:rPr>
          <w:sz w:val="22"/>
          <w:szCs w:val="22"/>
        </w:rPr>
        <w:t xml:space="preserve"> </w:t>
      </w:r>
      <w:r w:rsidRPr="00EA0C9B" w:rsidR="006306FF">
        <w:rPr>
          <w:sz w:val="22"/>
          <w:szCs w:val="22"/>
        </w:rPr>
        <w:t xml:space="preserve">1 January to 31 December 2022 or </w:t>
      </w:r>
      <w:r w:rsidRPr="00EA0C9B" w:rsidR="00EF6F18">
        <w:rPr>
          <w:sz w:val="22"/>
          <w:szCs w:val="22"/>
        </w:rPr>
        <w:t xml:space="preserve">1 January </w:t>
      </w:r>
      <w:r w:rsidRPr="00EA0C9B" w:rsidR="002A52C6">
        <w:rPr>
          <w:sz w:val="22"/>
          <w:szCs w:val="22"/>
        </w:rPr>
        <w:t xml:space="preserve">to </w:t>
      </w:r>
      <w:r w:rsidRPr="00EA0C9B" w:rsidR="00167AB2">
        <w:rPr>
          <w:sz w:val="22"/>
          <w:szCs w:val="22"/>
        </w:rPr>
        <w:t>9 September 2023</w:t>
      </w:r>
      <w:r w:rsidRPr="00EA0C9B" w:rsidR="008F0A80">
        <w:rPr>
          <w:sz w:val="22"/>
          <w:szCs w:val="22"/>
        </w:rPr>
        <w:t xml:space="preserve"> and</w:t>
      </w:r>
      <w:r w:rsidRPr="00EA0C9B" w:rsidR="00EF6F18">
        <w:rPr>
          <w:sz w:val="22"/>
          <w:szCs w:val="22"/>
        </w:rPr>
        <w:t xml:space="preserve"> therefore</w:t>
      </w:r>
      <w:r w:rsidRPr="00EA0C9B" w:rsidR="002A52C6">
        <w:rPr>
          <w:sz w:val="22"/>
          <w:szCs w:val="22"/>
        </w:rPr>
        <w:t>,</w:t>
      </w:r>
      <w:r w:rsidRPr="00EA0C9B" w:rsidR="00EF6F18">
        <w:rPr>
          <w:sz w:val="22"/>
          <w:szCs w:val="22"/>
        </w:rPr>
        <w:t xml:space="preserve"> there was no need to take any action or make any change to its registry </w:t>
      </w:r>
      <w:proofErr w:type="gramStart"/>
      <w:r w:rsidRPr="00EA0C9B" w:rsidR="002A52C6">
        <w:rPr>
          <w:sz w:val="22"/>
          <w:szCs w:val="22"/>
        </w:rPr>
        <w:t xml:space="preserve">with </w:t>
      </w:r>
      <w:r w:rsidRPr="00EA0C9B" w:rsidR="00EF6F18">
        <w:rPr>
          <w:sz w:val="22"/>
          <w:szCs w:val="22"/>
        </w:rPr>
        <w:t>regard to</w:t>
      </w:r>
      <w:proofErr w:type="gramEnd"/>
      <w:r w:rsidRPr="00EA0C9B" w:rsidR="00EF6F18">
        <w:rPr>
          <w:sz w:val="22"/>
          <w:szCs w:val="22"/>
        </w:rPr>
        <w:t xml:space="preserve"> this issue.</w:t>
      </w:r>
    </w:p>
    <w:p w:rsidRPr="00EA0C9B" w:rsidR="00EF6F18" w:rsidP="003C45B0" w:rsidRDefault="00EF6F18" w14:paraId="0284CB39" w14:textId="7177C2A8">
      <w:pPr>
        <w:pStyle w:val="ListParagraph"/>
        <w:numPr>
          <w:ilvl w:val="0"/>
          <w:numId w:val="2"/>
        </w:numPr>
        <w:spacing w:line="264" w:lineRule="auto"/>
        <w:ind w:left="709" w:hanging="425"/>
        <w:jc w:val="both"/>
        <w:rPr>
          <w:sz w:val="22"/>
          <w:szCs w:val="22"/>
          <w:shd w:val="clear" w:color="auto" w:fill="D9D9D9"/>
        </w:rPr>
      </w:pPr>
      <w:r w:rsidRPr="00EA0C9B">
        <w:rPr>
          <w:sz w:val="22"/>
          <w:szCs w:val="22"/>
        </w:rPr>
        <w:t>In accordance with paragraph 17 of the annex to decision 15/CMP.1</w:t>
      </w:r>
      <w:r w:rsidRPr="00EA0C9B" w:rsidR="008F0A80">
        <w:rPr>
          <w:sz w:val="22"/>
          <w:szCs w:val="22"/>
        </w:rPr>
        <w:t xml:space="preserve"> in conjunction with decision 3/CMP.11</w:t>
      </w:r>
      <w:r w:rsidRPr="00EA0C9B">
        <w:rPr>
          <w:sz w:val="22"/>
          <w:szCs w:val="22"/>
        </w:rPr>
        <w:t xml:space="preserve">, </w:t>
      </w:r>
      <w:r w:rsidRPr="00EA0C9B" w:rsidR="00F11F13">
        <w:rPr>
          <w:sz w:val="22"/>
          <w:szCs w:val="22"/>
        </w:rPr>
        <w:t>United Kingdom</w:t>
      </w:r>
      <w:r w:rsidRPr="00EA0C9B">
        <w:rPr>
          <w:sz w:val="22"/>
          <w:szCs w:val="22"/>
        </w:rPr>
        <w:t xml:space="preserve"> reports that no questions of implementation pertaining to its transactions have been previously identified.</w:t>
      </w:r>
      <w:r w:rsidR="00EB5C60">
        <w:tab/>
      </w:r>
      <w:r w:rsidR="00EB5C60">
        <w:br/>
      </w:r>
    </w:p>
    <w:p w:rsidR="00EF6F18" w:rsidP="1AAC11D3" w:rsidRDefault="00EF6F18" w14:paraId="0284CB3C" w14:textId="77777777">
      <w:pPr>
        <w:pStyle w:val="ListParagraph"/>
        <w:numPr>
          <w:ilvl w:val="1"/>
          <w:numId w:val="3"/>
        </w:numPr>
        <w:spacing w:line="264" w:lineRule="auto"/>
        <w:ind w:left="709" w:hanging="425"/>
        <w:jc w:val="both"/>
        <w:rPr>
          <w:b/>
          <w:bCs/>
          <w:sz w:val="22"/>
          <w:szCs w:val="22"/>
        </w:rPr>
      </w:pPr>
      <w:r w:rsidRPr="00EA0C9B">
        <w:rPr>
          <w:b/>
          <w:bCs/>
          <w:sz w:val="22"/>
          <w:szCs w:val="22"/>
        </w:rPr>
        <w:t>Commitment</w:t>
      </w:r>
      <w:r w:rsidRPr="6ECA80BA">
        <w:rPr>
          <w:b/>
          <w:bCs/>
          <w:sz w:val="22"/>
          <w:szCs w:val="22"/>
        </w:rPr>
        <w:t xml:space="preserve"> period reserve</w:t>
      </w:r>
    </w:p>
    <w:p w:rsidRPr="00B33D0E" w:rsidR="00EF6F18" w:rsidP="00581594" w:rsidRDefault="00EF6F18" w14:paraId="0284CB3E" w14:textId="36916978">
      <w:pPr>
        <w:pStyle w:val="ListParagraph"/>
        <w:numPr>
          <w:ilvl w:val="0"/>
          <w:numId w:val="2"/>
        </w:numPr>
        <w:spacing w:line="264" w:lineRule="auto"/>
        <w:ind w:left="709" w:hanging="425"/>
        <w:jc w:val="both"/>
        <w:rPr>
          <w:sz w:val="22"/>
          <w:szCs w:val="22"/>
        </w:rPr>
      </w:pPr>
      <w:r w:rsidRPr="00B33D0E">
        <w:rPr>
          <w:sz w:val="22"/>
          <w:szCs w:val="22"/>
        </w:rPr>
        <w:t xml:space="preserve">The commitment period reserve (CPR) of </w:t>
      </w:r>
      <w:r w:rsidRPr="002E1EC1" w:rsidR="00F11F13">
        <w:rPr>
          <w:sz w:val="22"/>
          <w:szCs w:val="22"/>
        </w:rPr>
        <w:t>United Kingdom</w:t>
      </w:r>
      <w:r w:rsidRPr="00B33D0E">
        <w:rPr>
          <w:sz w:val="22"/>
          <w:szCs w:val="22"/>
        </w:rPr>
        <w:t xml:space="preserve"> is </w:t>
      </w:r>
      <w:r w:rsidRPr="1AAC11D3" w:rsidR="001B3323">
        <w:rPr>
          <w:sz w:val="22"/>
          <w:szCs w:val="22"/>
        </w:rPr>
        <w:t>2</w:t>
      </w:r>
      <w:r w:rsidRPr="1AAC11D3" w:rsidR="577885F2">
        <w:rPr>
          <w:sz w:val="22"/>
          <w:szCs w:val="22"/>
        </w:rPr>
        <w:t>,</w:t>
      </w:r>
      <w:r w:rsidRPr="1AAC11D3" w:rsidR="001B3323">
        <w:rPr>
          <w:sz w:val="22"/>
          <w:szCs w:val="22"/>
        </w:rPr>
        <w:t>470</w:t>
      </w:r>
      <w:r w:rsidRPr="1AAC11D3" w:rsidR="22B14A8A">
        <w:rPr>
          <w:sz w:val="22"/>
          <w:szCs w:val="22"/>
        </w:rPr>
        <w:t>,</w:t>
      </w:r>
      <w:r w:rsidRPr="1AAC11D3" w:rsidR="001B3323">
        <w:rPr>
          <w:sz w:val="22"/>
          <w:szCs w:val="22"/>
        </w:rPr>
        <w:t>443</w:t>
      </w:r>
      <w:r w:rsidRPr="1AAC11D3" w:rsidR="1F07B59E">
        <w:rPr>
          <w:sz w:val="22"/>
          <w:szCs w:val="22"/>
        </w:rPr>
        <w:t>,</w:t>
      </w:r>
      <w:r w:rsidRPr="1AAC11D3" w:rsidR="001B3323">
        <w:rPr>
          <w:sz w:val="22"/>
          <w:szCs w:val="22"/>
        </w:rPr>
        <w:t>599</w:t>
      </w:r>
      <w:r w:rsidRPr="1AAC11D3" w:rsidR="109FB01E">
        <w:rPr>
          <w:sz w:val="22"/>
          <w:szCs w:val="22"/>
        </w:rPr>
        <w:t xml:space="preserve"> t CO2 eq</w:t>
      </w:r>
      <w:r w:rsidRPr="6ECA80BA">
        <w:rPr>
          <w:i/>
          <w:iCs/>
          <w:sz w:val="22"/>
          <w:szCs w:val="22"/>
        </w:rPr>
        <w:t>.</w:t>
      </w:r>
      <w:r w:rsidRPr="00B33D0E">
        <w:rPr>
          <w:sz w:val="22"/>
          <w:szCs w:val="22"/>
        </w:rPr>
        <w:t xml:space="preserve"> </w:t>
      </w:r>
      <w:r w:rsidRPr="00F11F13" w:rsidR="00F11F13">
        <w:rPr>
          <w:sz w:val="22"/>
          <w:szCs w:val="22"/>
        </w:rPr>
        <w:t>United Kingdom</w:t>
      </w:r>
      <w:r w:rsidRPr="00F11F13">
        <w:rPr>
          <w:sz w:val="22"/>
          <w:szCs w:val="22"/>
        </w:rPr>
        <w:t xml:space="preserve">’s CPR is contained in </w:t>
      </w:r>
      <w:r w:rsidRPr="00F11F13" w:rsidR="00934A4C">
        <w:rPr>
          <w:sz w:val="22"/>
          <w:szCs w:val="22"/>
        </w:rPr>
        <w:t>annex II</w:t>
      </w:r>
      <w:r w:rsidRPr="00F11F13" w:rsidR="002732EA">
        <w:rPr>
          <w:sz w:val="22"/>
          <w:szCs w:val="22"/>
        </w:rPr>
        <w:t>, table II.1,</w:t>
      </w:r>
      <w:r w:rsidRPr="00F11F13">
        <w:rPr>
          <w:sz w:val="22"/>
          <w:szCs w:val="22"/>
        </w:rPr>
        <w:t xml:space="preserve"> of the “Report </w:t>
      </w:r>
      <w:r w:rsidRPr="00F11F13" w:rsidR="00EE3101">
        <w:rPr>
          <w:sz w:val="22"/>
          <w:szCs w:val="22"/>
        </w:rPr>
        <w:t xml:space="preserve">on </w:t>
      </w:r>
      <w:r w:rsidRPr="00F11F13">
        <w:rPr>
          <w:sz w:val="22"/>
          <w:szCs w:val="22"/>
        </w:rPr>
        <w:t xml:space="preserve">the individual review of the annual submission of </w:t>
      </w:r>
      <w:r w:rsidRPr="00F11F13" w:rsidR="00F11F13">
        <w:rPr>
          <w:sz w:val="22"/>
          <w:szCs w:val="22"/>
        </w:rPr>
        <w:t>United Kingdom</w:t>
      </w:r>
      <w:r w:rsidRPr="00F11F13">
        <w:rPr>
          <w:sz w:val="22"/>
          <w:szCs w:val="22"/>
        </w:rPr>
        <w:t xml:space="preserve"> submitted in </w:t>
      </w:r>
      <w:r w:rsidRPr="00F11F13" w:rsidR="00934A4C">
        <w:rPr>
          <w:sz w:val="22"/>
          <w:szCs w:val="22"/>
        </w:rPr>
        <w:t>2022</w:t>
      </w:r>
      <w:r w:rsidRPr="00F11F13">
        <w:rPr>
          <w:sz w:val="22"/>
          <w:szCs w:val="22"/>
        </w:rPr>
        <w:t>”</w:t>
      </w:r>
      <w:r w:rsidRPr="00F11F13" w:rsidR="00B33D0E">
        <w:rPr>
          <w:rStyle w:val="FootnoteReference"/>
          <w:sz w:val="22"/>
          <w:szCs w:val="22"/>
        </w:rPr>
        <w:footnoteReference w:id="6"/>
      </w:r>
      <w:r w:rsidRPr="00F11F13">
        <w:rPr>
          <w:sz w:val="22"/>
          <w:szCs w:val="22"/>
        </w:rPr>
        <w:t xml:space="preserve"> and was agreed by the re</w:t>
      </w:r>
      <w:r w:rsidRPr="00F11F13" w:rsidR="00B33D0E">
        <w:rPr>
          <w:sz w:val="22"/>
          <w:szCs w:val="22"/>
        </w:rPr>
        <w:t>levant</w:t>
      </w:r>
      <w:r w:rsidRPr="00F11F13">
        <w:rPr>
          <w:sz w:val="22"/>
          <w:szCs w:val="22"/>
        </w:rPr>
        <w:t xml:space="preserve"> expert review team.</w:t>
      </w:r>
    </w:p>
    <w:p w:rsidR="00EF6F18" w:rsidP="1AAC11D3" w:rsidRDefault="00B33D0E" w14:paraId="0284CB41" w14:textId="77777777">
      <w:pPr>
        <w:pStyle w:val="ListParagraph"/>
        <w:numPr>
          <w:ilvl w:val="1"/>
          <w:numId w:val="3"/>
        </w:numPr>
        <w:spacing w:line="264" w:lineRule="auto"/>
        <w:ind w:left="709" w:hanging="425"/>
        <w:jc w:val="both"/>
        <w:rPr>
          <w:b/>
          <w:bCs/>
          <w:sz w:val="22"/>
          <w:szCs w:val="22"/>
        </w:rPr>
      </w:pPr>
      <w:r w:rsidRPr="6ECA80BA">
        <w:rPr>
          <w:b/>
          <w:bCs/>
          <w:sz w:val="22"/>
          <w:szCs w:val="22"/>
        </w:rPr>
        <w:t>Total quantity of units in the retirement account</w:t>
      </w:r>
    </w:p>
    <w:p w:rsidR="00737F30" w:rsidP="00581594" w:rsidRDefault="00B82C4E" w14:paraId="0284CB43" w14:textId="42A84906">
      <w:pPr>
        <w:pStyle w:val="ListParagraph"/>
        <w:numPr>
          <w:ilvl w:val="0"/>
          <w:numId w:val="2"/>
        </w:numPr>
        <w:spacing w:line="264" w:lineRule="auto"/>
        <w:ind w:left="709" w:hanging="425"/>
        <w:jc w:val="both"/>
        <w:rPr>
          <w:sz w:val="22"/>
          <w:szCs w:val="22"/>
        </w:rPr>
      </w:pPr>
      <w:r w:rsidRPr="1AAC11D3">
        <w:rPr>
          <w:sz w:val="22"/>
          <w:szCs w:val="22"/>
        </w:rPr>
        <w:t>Table 1</w:t>
      </w:r>
      <w:r w:rsidRPr="1AAC11D3" w:rsidR="009A636D">
        <w:rPr>
          <w:sz w:val="22"/>
          <w:szCs w:val="22"/>
        </w:rPr>
        <w:t xml:space="preserve"> </w:t>
      </w:r>
      <w:r w:rsidRPr="1AAC11D3">
        <w:rPr>
          <w:sz w:val="22"/>
          <w:szCs w:val="22"/>
        </w:rPr>
        <w:t>present</w:t>
      </w:r>
      <w:r w:rsidRPr="1AAC11D3" w:rsidR="00EB3C16">
        <w:rPr>
          <w:sz w:val="22"/>
          <w:szCs w:val="22"/>
        </w:rPr>
        <w:t xml:space="preserve">s the total quantity of </w:t>
      </w:r>
      <w:r w:rsidRPr="1AAC11D3" w:rsidR="00B058FA">
        <w:rPr>
          <w:sz w:val="22"/>
          <w:szCs w:val="22"/>
        </w:rPr>
        <w:t>Kyoto Protocol units</w:t>
      </w:r>
      <w:r w:rsidRPr="1AAC11D3" w:rsidR="00EB3C16">
        <w:rPr>
          <w:sz w:val="22"/>
          <w:szCs w:val="22"/>
        </w:rPr>
        <w:t xml:space="preserve"> in </w:t>
      </w:r>
      <w:r w:rsidRPr="1AAC11D3" w:rsidR="00F11F13">
        <w:rPr>
          <w:sz w:val="22"/>
          <w:szCs w:val="22"/>
        </w:rPr>
        <w:t>United Kingdom</w:t>
      </w:r>
      <w:r w:rsidRPr="1AAC11D3" w:rsidR="00EB3C16">
        <w:rPr>
          <w:sz w:val="22"/>
          <w:szCs w:val="22"/>
        </w:rPr>
        <w:t xml:space="preserve">’s retirement account at the end of the </w:t>
      </w:r>
      <w:r w:rsidRPr="1AAC11D3">
        <w:rPr>
          <w:sz w:val="22"/>
          <w:szCs w:val="22"/>
        </w:rPr>
        <w:t>true-up</w:t>
      </w:r>
      <w:r w:rsidRPr="1AAC11D3" w:rsidR="00EB3C16">
        <w:rPr>
          <w:sz w:val="22"/>
          <w:szCs w:val="22"/>
        </w:rPr>
        <w:t xml:space="preserve"> period</w:t>
      </w:r>
      <w:r w:rsidRPr="1AAC11D3" w:rsidR="002732EA">
        <w:rPr>
          <w:sz w:val="22"/>
          <w:szCs w:val="22"/>
        </w:rPr>
        <w:t xml:space="preserve"> for the second commitment period</w:t>
      </w:r>
      <w:r w:rsidRPr="1AAC11D3">
        <w:rPr>
          <w:sz w:val="22"/>
          <w:szCs w:val="22"/>
        </w:rPr>
        <w:t>, in accordance with paragraph 49(b) of the annex to decision 13/CMP.1</w:t>
      </w:r>
      <w:r w:rsidRPr="1AAC11D3" w:rsidR="000C7AB9">
        <w:rPr>
          <w:sz w:val="22"/>
          <w:szCs w:val="22"/>
        </w:rPr>
        <w:t xml:space="preserve"> in conjunction with decision 3/CMP.11</w:t>
      </w:r>
      <w:r w:rsidRPr="1AAC11D3">
        <w:rPr>
          <w:sz w:val="22"/>
          <w:szCs w:val="22"/>
        </w:rPr>
        <w:t xml:space="preserve">. </w:t>
      </w:r>
    </w:p>
    <w:p w:rsidR="007B6EC8" w:rsidP="1AAC11D3" w:rsidRDefault="00EB3C16" w14:paraId="0284CB45" w14:textId="0026DB47">
      <w:pPr>
        <w:spacing w:after="288" w:afterLines="120" w:line="264" w:lineRule="auto"/>
        <w:ind w:left="709"/>
        <w:jc w:val="both"/>
        <w:rPr>
          <w:b/>
          <w:bCs/>
          <w:sz w:val="22"/>
          <w:szCs w:val="22"/>
        </w:rPr>
      </w:pPr>
      <w:r w:rsidRPr="1AAC11D3">
        <w:rPr>
          <w:b/>
          <w:bCs/>
          <w:sz w:val="22"/>
          <w:szCs w:val="22"/>
        </w:rPr>
        <w:t xml:space="preserve">Table 1. </w:t>
      </w:r>
      <w:r w:rsidRPr="1AAC11D3" w:rsidR="00CA6C49">
        <w:rPr>
          <w:b/>
          <w:bCs/>
          <w:sz w:val="22"/>
          <w:szCs w:val="22"/>
        </w:rPr>
        <w:t>Total quantity</w:t>
      </w:r>
      <w:r w:rsidRPr="1AAC11D3" w:rsidR="00737F30">
        <w:rPr>
          <w:b/>
          <w:bCs/>
          <w:sz w:val="22"/>
          <w:szCs w:val="22"/>
        </w:rPr>
        <w:t xml:space="preserve"> </w:t>
      </w:r>
      <w:r w:rsidRPr="1AAC11D3" w:rsidR="00CA6C49">
        <w:rPr>
          <w:b/>
          <w:bCs/>
          <w:sz w:val="22"/>
          <w:szCs w:val="22"/>
        </w:rPr>
        <w:t xml:space="preserve">of </w:t>
      </w:r>
      <w:r w:rsidRPr="1AAC11D3" w:rsidR="004A77AD">
        <w:rPr>
          <w:b/>
          <w:bCs/>
          <w:sz w:val="22"/>
          <w:szCs w:val="22"/>
        </w:rPr>
        <w:t xml:space="preserve">Kyoto Protocol </w:t>
      </w:r>
      <w:r w:rsidRPr="1AAC11D3" w:rsidR="00CA6C49">
        <w:rPr>
          <w:b/>
          <w:bCs/>
          <w:sz w:val="22"/>
          <w:szCs w:val="22"/>
        </w:rPr>
        <w:t>units in the retirement account</w:t>
      </w:r>
      <w:r w:rsidRPr="1AAC11D3" w:rsidR="002732EA">
        <w:rPr>
          <w:b/>
          <w:bCs/>
          <w:sz w:val="22"/>
          <w:szCs w:val="22"/>
        </w:rPr>
        <w:t xml:space="preserve"> for the second commitment period (2013-2020)</w:t>
      </w: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15"/>
        <w:gridCol w:w="1016"/>
        <w:gridCol w:w="1016"/>
        <w:gridCol w:w="1016"/>
        <w:gridCol w:w="1016"/>
        <w:gridCol w:w="1016"/>
        <w:gridCol w:w="1985"/>
      </w:tblGrid>
      <w:tr w:rsidRPr="00556E2F" w:rsidR="004A77AD" w:rsidTr="3DAAAC98" w14:paraId="0284CB4E" w14:textId="77777777">
        <w:tc>
          <w:tcPr>
            <w:tcW w:w="1015" w:type="dxa"/>
            <w:shd w:val="clear" w:color="auto" w:fill="auto"/>
            <w:tcMar/>
          </w:tcPr>
          <w:p w:rsidRPr="00FF7929" w:rsidR="004A77AD" w:rsidP="008F0A80" w:rsidRDefault="004A77AD" w14:paraId="0284CB47" w14:textId="77777777">
            <w:pPr>
              <w:spacing w:after="288" w:afterLines="120" w:line="264" w:lineRule="auto"/>
              <w:jc w:val="center"/>
              <w:rPr>
                <w:b/>
                <w:sz w:val="22"/>
                <w:szCs w:val="22"/>
              </w:rPr>
            </w:pPr>
            <w:r w:rsidRPr="00FF7929">
              <w:rPr>
                <w:b/>
                <w:sz w:val="22"/>
                <w:szCs w:val="22"/>
              </w:rPr>
              <w:t>AAUs</w:t>
            </w:r>
          </w:p>
        </w:tc>
        <w:tc>
          <w:tcPr>
            <w:tcW w:w="1016" w:type="dxa"/>
            <w:tcMar/>
          </w:tcPr>
          <w:p w:rsidRPr="00FF7929" w:rsidR="004A77AD" w:rsidP="008F0A80" w:rsidRDefault="004A77AD" w14:paraId="0284CB48" w14:textId="77777777">
            <w:pPr>
              <w:spacing w:after="288" w:afterLines="120" w:line="264" w:lineRule="auto"/>
              <w:jc w:val="center"/>
              <w:rPr>
                <w:b/>
                <w:sz w:val="22"/>
                <w:szCs w:val="22"/>
              </w:rPr>
            </w:pPr>
            <w:r w:rsidRPr="00FF7929">
              <w:rPr>
                <w:b/>
                <w:sz w:val="22"/>
                <w:szCs w:val="22"/>
              </w:rPr>
              <w:t>ERUs</w:t>
            </w:r>
          </w:p>
        </w:tc>
        <w:tc>
          <w:tcPr>
            <w:tcW w:w="1016" w:type="dxa"/>
            <w:tcMar/>
          </w:tcPr>
          <w:p w:rsidRPr="00FF7929" w:rsidR="004A77AD" w:rsidP="008F0A80" w:rsidRDefault="004A77AD" w14:paraId="0284CB49" w14:textId="77777777">
            <w:pPr>
              <w:spacing w:after="288" w:afterLines="120" w:line="264" w:lineRule="auto"/>
              <w:jc w:val="center"/>
              <w:rPr>
                <w:b/>
                <w:sz w:val="22"/>
                <w:szCs w:val="22"/>
              </w:rPr>
            </w:pPr>
            <w:r w:rsidRPr="00FF7929">
              <w:rPr>
                <w:b/>
                <w:sz w:val="22"/>
                <w:szCs w:val="22"/>
              </w:rPr>
              <w:t>RMUs</w:t>
            </w:r>
          </w:p>
        </w:tc>
        <w:tc>
          <w:tcPr>
            <w:tcW w:w="1016" w:type="dxa"/>
            <w:shd w:val="clear" w:color="auto" w:fill="auto"/>
            <w:tcMar/>
          </w:tcPr>
          <w:p w:rsidRPr="00FF7929" w:rsidR="004A77AD" w:rsidP="008F0A80" w:rsidRDefault="004A77AD" w14:paraId="0284CB4A" w14:textId="77777777">
            <w:pPr>
              <w:spacing w:after="288" w:afterLines="120" w:line="264" w:lineRule="auto"/>
              <w:jc w:val="center"/>
              <w:rPr>
                <w:b/>
                <w:sz w:val="22"/>
                <w:szCs w:val="22"/>
              </w:rPr>
            </w:pPr>
            <w:r>
              <w:rPr>
                <w:b/>
                <w:sz w:val="22"/>
                <w:szCs w:val="22"/>
              </w:rPr>
              <w:t>CERs</w:t>
            </w:r>
          </w:p>
        </w:tc>
        <w:tc>
          <w:tcPr>
            <w:tcW w:w="1016" w:type="dxa"/>
            <w:shd w:val="clear" w:color="auto" w:fill="auto"/>
            <w:tcMar/>
          </w:tcPr>
          <w:p w:rsidRPr="00FF7929" w:rsidR="004A77AD" w:rsidP="008F0A80" w:rsidRDefault="002A7F90" w14:paraId="0284CB4B" w14:textId="77777777">
            <w:pPr>
              <w:spacing w:after="288" w:afterLines="120" w:line="264" w:lineRule="auto"/>
              <w:jc w:val="center"/>
              <w:rPr>
                <w:b/>
                <w:sz w:val="22"/>
                <w:szCs w:val="22"/>
              </w:rPr>
            </w:pPr>
            <w:proofErr w:type="spellStart"/>
            <w:r>
              <w:rPr>
                <w:b/>
                <w:sz w:val="22"/>
                <w:szCs w:val="22"/>
              </w:rPr>
              <w:t>t</w:t>
            </w:r>
            <w:r w:rsidR="004A77AD">
              <w:rPr>
                <w:b/>
                <w:sz w:val="22"/>
                <w:szCs w:val="22"/>
              </w:rPr>
              <w:t>CERs</w:t>
            </w:r>
            <w:proofErr w:type="spellEnd"/>
          </w:p>
        </w:tc>
        <w:tc>
          <w:tcPr>
            <w:tcW w:w="1016" w:type="dxa"/>
            <w:shd w:val="clear" w:color="auto" w:fill="auto"/>
            <w:tcMar/>
          </w:tcPr>
          <w:p w:rsidRPr="00FF7929" w:rsidR="004A77AD" w:rsidP="008F0A80" w:rsidRDefault="002A7F90" w14:paraId="0284CB4C" w14:textId="77777777">
            <w:pPr>
              <w:spacing w:after="288" w:afterLines="120" w:line="264" w:lineRule="auto"/>
              <w:jc w:val="center"/>
              <w:rPr>
                <w:b/>
                <w:sz w:val="22"/>
                <w:szCs w:val="22"/>
              </w:rPr>
            </w:pPr>
            <w:proofErr w:type="spellStart"/>
            <w:r>
              <w:rPr>
                <w:b/>
                <w:sz w:val="22"/>
                <w:szCs w:val="22"/>
              </w:rPr>
              <w:t>l</w:t>
            </w:r>
            <w:r w:rsidR="004A77AD">
              <w:rPr>
                <w:b/>
                <w:sz w:val="22"/>
                <w:szCs w:val="22"/>
              </w:rPr>
              <w:t>CERs</w:t>
            </w:r>
            <w:proofErr w:type="spellEnd"/>
          </w:p>
        </w:tc>
        <w:tc>
          <w:tcPr>
            <w:tcW w:w="1985" w:type="dxa"/>
            <w:tcMar/>
          </w:tcPr>
          <w:p w:rsidRPr="00FF7929" w:rsidR="004A77AD" w:rsidP="008F0A80" w:rsidRDefault="004A77AD" w14:paraId="0284CB4D" w14:textId="77777777">
            <w:pPr>
              <w:spacing w:after="288" w:afterLines="120" w:line="264" w:lineRule="auto"/>
              <w:jc w:val="center"/>
              <w:rPr>
                <w:b/>
                <w:sz w:val="22"/>
                <w:szCs w:val="22"/>
              </w:rPr>
            </w:pPr>
            <w:r>
              <w:rPr>
                <w:b/>
                <w:sz w:val="22"/>
                <w:szCs w:val="22"/>
              </w:rPr>
              <w:t>Total</w:t>
            </w:r>
          </w:p>
        </w:tc>
      </w:tr>
      <w:tr w:rsidRPr="00556E2F" w:rsidR="004A77AD" w:rsidTr="3DAAAC98" w14:paraId="0284CB56" w14:textId="77777777">
        <w:trPr>
          <w:trHeight w:val="1350"/>
        </w:trPr>
        <w:tc>
          <w:tcPr>
            <w:tcW w:w="1015" w:type="dxa"/>
            <w:shd w:val="clear" w:color="auto" w:fill="auto"/>
            <w:tcMar/>
          </w:tcPr>
          <w:p w:rsidRPr="00FF7929" w:rsidR="004A77AD" w:rsidP="1AAC11D3" w:rsidRDefault="7AE12AA4" w14:paraId="0284CB4F" w14:textId="20256789">
            <w:pPr>
              <w:pStyle w:val="ListParagraph"/>
              <w:spacing w:after="288" w:afterLines="120" w:line="264" w:lineRule="auto"/>
              <w:ind w:left="0"/>
              <w:jc w:val="center"/>
              <w:rPr>
                <w:sz w:val="22"/>
                <w:szCs w:val="22"/>
              </w:rPr>
            </w:pPr>
            <w:r w:rsidRPr="1AAC11D3">
              <w:rPr>
                <w:sz w:val="22"/>
                <w:szCs w:val="22"/>
              </w:rPr>
              <w:t>2,610,978,300</w:t>
            </w:r>
          </w:p>
        </w:tc>
        <w:tc>
          <w:tcPr>
            <w:tcW w:w="1016" w:type="dxa"/>
            <w:tcMar/>
          </w:tcPr>
          <w:p w:rsidRPr="00FF7929" w:rsidR="004A77AD" w:rsidP="1AAC11D3" w:rsidRDefault="7AE12AA4" w14:paraId="0284CB50" w14:textId="7731C099">
            <w:pPr>
              <w:pStyle w:val="ListParagraph"/>
              <w:spacing w:after="288" w:afterLines="120" w:line="264" w:lineRule="auto"/>
              <w:ind w:left="0"/>
              <w:jc w:val="center"/>
              <w:rPr>
                <w:sz w:val="22"/>
                <w:szCs w:val="22"/>
              </w:rPr>
            </w:pPr>
            <w:r w:rsidRPr="1AAC11D3">
              <w:rPr>
                <w:sz w:val="22"/>
                <w:szCs w:val="22"/>
              </w:rPr>
              <w:t>0</w:t>
            </w:r>
          </w:p>
        </w:tc>
        <w:tc>
          <w:tcPr>
            <w:tcW w:w="1016" w:type="dxa"/>
            <w:tcMar/>
          </w:tcPr>
          <w:p w:rsidRPr="00FF7929" w:rsidR="004A77AD" w:rsidP="1AAC11D3" w:rsidRDefault="7AE12AA4" w14:paraId="0284CB51" w14:textId="0E277446">
            <w:pPr>
              <w:pStyle w:val="ListParagraph"/>
              <w:spacing w:after="288" w:afterLines="120" w:line="264" w:lineRule="auto"/>
              <w:ind w:left="0"/>
              <w:jc w:val="center"/>
              <w:rPr>
                <w:sz w:val="22"/>
                <w:szCs w:val="22"/>
              </w:rPr>
            </w:pPr>
            <w:r w:rsidRPr="1AAC11D3">
              <w:rPr>
                <w:sz w:val="22"/>
                <w:szCs w:val="22"/>
              </w:rPr>
              <w:t>0</w:t>
            </w:r>
          </w:p>
        </w:tc>
        <w:tc>
          <w:tcPr>
            <w:tcW w:w="1016" w:type="dxa"/>
            <w:shd w:val="clear" w:color="auto" w:fill="auto"/>
            <w:tcMar/>
          </w:tcPr>
          <w:p w:rsidRPr="00FF7929" w:rsidR="004A77AD" w:rsidP="1AAC11D3" w:rsidRDefault="7AE12AA4" w14:paraId="0284CB52" w14:textId="6FEC7DD7">
            <w:pPr>
              <w:pStyle w:val="ListParagraph"/>
              <w:spacing w:after="288" w:afterLines="120" w:line="264" w:lineRule="auto"/>
              <w:ind w:left="0"/>
              <w:jc w:val="center"/>
              <w:rPr>
                <w:sz w:val="22"/>
                <w:szCs w:val="22"/>
              </w:rPr>
            </w:pPr>
            <w:r w:rsidRPr="1AAC11D3">
              <w:rPr>
                <w:sz w:val="22"/>
                <w:szCs w:val="22"/>
              </w:rPr>
              <w:t>0</w:t>
            </w:r>
          </w:p>
        </w:tc>
        <w:tc>
          <w:tcPr>
            <w:tcW w:w="1016" w:type="dxa"/>
            <w:shd w:val="clear" w:color="auto" w:fill="auto"/>
            <w:tcMar/>
          </w:tcPr>
          <w:p w:rsidRPr="00FF7929" w:rsidR="004A77AD" w:rsidP="1AAC11D3" w:rsidRDefault="7AE12AA4" w14:paraId="0284CB53" w14:textId="7E04FAD0">
            <w:pPr>
              <w:pStyle w:val="ListParagraph"/>
              <w:spacing w:after="288" w:afterLines="120" w:line="264" w:lineRule="auto"/>
              <w:ind w:left="0"/>
              <w:jc w:val="center"/>
              <w:rPr>
                <w:sz w:val="22"/>
                <w:szCs w:val="22"/>
              </w:rPr>
            </w:pPr>
            <w:r w:rsidRPr="1AAC11D3">
              <w:rPr>
                <w:sz w:val="22"/>
                <w:szCs w:val="22"/>
              </w:rPr>
              <w:t>0</w:t>
            </w:r>
          </w:p>
        </w:tc>
        <w:tc>
          <w:tcPr>
            <w:tcW w:w="1016" w:type="dxa"/>
            <w:shd w:val="clear" w:color="auto" w:fill="auto"/>
            <w:tcMar/>
          </w:tcPr>
          <w:p w:rsidRPr="00FF7929" w:rsidR="004A77AD" w:rsidP="1AAC11D3" w:rsidRDefault="7AE12AA4" w14:paraId="0284CB54" w14:textId="5F0CCEA8">
            <w:pPr>
              <w:pStyle w:val="ListParagraph"/>
              <w:spacing w:after="288" w:afterLines="120" w:line="264" w:lineRule="auto"/>
              <w:ind w:left="0"/>
              <w:jc w:val="center"/>
              <w:rPr>
                <w:sz w:val="22"/>
                <w:szCs w:val="22"/>
              </w:rPr>
            </w:pPr>
            <w:r w:rsidRPr="1AAC11D3">
              <w:rPr>
                <w:sz w:val="22"/>
                <w:szCs w:val="22"/>
              </w:rPr>
              <w:t>0</w:t>
            </w:r>
          </w:p>
        </w:tc>
        <w:tc>
          <w:tcPr>
            <w:tcW w:w="1985" w:type="dxa"/>
            <w:tcMar/>
          </w:tcPr>
          <w:p w:rsidRPr="00FF7929" w:rsidR="004A77AD" w:rsidP="1AAC11D3" w:rsidRDefault="16CDF5A6" w14:paraId="0284CB55" w14:textId="239A0FAB">
            <w:pPr>
              <w:pStyle w:val="ListParagraph"/>
              <w:spacing w:after="288" w:afterLines="120" w:line="264" w:lineRule="auto"/>
              <w:ind w:left="0"/>
              <w:jc w:val="center"/>
              <w:rPr>
                <w:sz w:val="22"/>
                <w:szCs w:val="22"/>
              </w:rPr>
            </w:pPr>
            <w:r w:rsidRPr="6ECA80BA">
              <w:rPr>
                <w:sz w:val="22"/>
                <w:szCs w:val="22"/>
              </w:rPr>
              <w:t>2,610,978,300</w:t>
            </w:r>
          </w:p>
        </w:tc>
      </w:tr>
    </w:tbl>
    <w:p w:rsidRPr="00B33D0E" w:rsidR="00737F30" w:rsidP="00581594" w:rsidRDefault="00CA6C49" w14:paraId="0284CB57" w14:textId="77777777">
      <w:pPr>
        <w:pStyle w:val="ListParagraph"/>
        <w:shd w:val="clear" w:color="auto" w:fill="FFFFFF"/>
        <w:spacing w:line="264" w:lineRule="auto"/>
        <w:ind w:left="709"/>
        <w:jc w:val="both"/>
        <w:rPr>
          <w:i/>
          <w:sz w:val="18"/>
          <w:szCs w:val="20"/>
        </w:rPr>
      </w:pPr>
      <w:r w:rsidRPr="00B33D0E">
        <w:rPr>
          <w:i/>
          <w:sz w:val="18"/>
          <w:szCs w:val="20"/>
        </w:rPr>
        <w:t>Abbreviations</w:t>
      </w:r>
      <w:r w:rsidRPr="001A5D14">
        <w:rPr>
          <w:sz w:val="18"/>
          <w:szCs w:val="20"/>
        </w:rPr>
        <w:t>: AAUs</w:t>
      </w:r>
      <w:r w:rsidR="00EE3101">
        <w:rPr>
          <w:sz w:val="18"/>
          <w:szCs w:val="20"/>
        </w:rPr>
        <w:t xml:space="preserve"> </w:t>
      </w:r>
      <w:r w:rsidRPr="001A5D14">
        <w:rPr>
          <w:sz w:val="18"/>
          <w:szCs w:val="20"/>
        </w:rPr>
        <w:t>= assigned amount units, CERs = certified emission reduction</w:t>
      </w:r>
      <w:r w:rsidRPr="001A5D14" w:rsidR="00B82C4E">
        <w:rPr>
          <w:sz w:val="18"/>
          <w:szCs w:val="20"/>
        </w:rPr>
        <w:t>s</w:t>
      </w:r>
      <w:r w:rsidRPr="001A5D14">
        <w:rPr>
          <w:sz w:val="18"/>
          <w:szCs w:val="20"/>
        </w:rPr>
        <w:t>, ERUs = emission reduction units, RMUs = removal units</w:t>
      </w:r>
      <w:r w:rsidRPr="001A5D14" w:rsidR="002A7F90">
        <w:rPr>
          <w:sz w:val="18"/>
          <w:szCs w:val="20"/>
        </w:rPr>
        <w:t xml:space="preserve">, </w:t>
      </w:r>
      <w:proofErr w:type="spellStart"/>
      <w:r w:rsidRPr="001A5D14" w:rsidR="002A7F90">
        <w:rPr>
          <w:sz w:val="18"/>
          <w:szCs w:val="20"/>
        </w:rPr>
        <w:t>tCERs</w:t>
      </w:r>
      <w:proofErr w:type="spellEnd"/>
      <w:r w:rsidRPr="001A5D14" w:rsidR="002A7F90">
        <w:rPr>
          <w:sz w:val="18"/>
          <w:szCs w:val="20"/>
        </w:rPr>
        <w:t xml:space="preserve"> = temporary certified emission reductions, </w:t>
      </w:r>
      <w:proofErr w:type="spellStart"/>
      <w:r w:rsidRPr="001A5D14" w:rsidR="002A7F90">
        <w:rPr>
          <w:sz w:val="18"/>
          <w:szCs w:val="20"/>
        </w:rPr>
        <w:t>lCERs</w:t>
      </w:r>
      <w:proofErr w:type="spellEnd"/>
      <w:r w:rsidRPr="001A5D14" w:rsidR="002A7F90">
        <w:rPr>
          <w:sz w:val="18"/>
          <w:szCs w:val="20"/>
        </w:rPr>
        <w:t xml:space="preserve"> = long-term certified emission reductions.</w:t>
      </w:r>
      <w:r w:rsidRPr="00B33D0E" w:rsidR="002A7F90">
        <w:rPr>
          <w:i/>
          <w:sz w:val="18"/>
          <w:szCs w:val="20"/>
        </w:rPr>
        <w:t xml:space="preserve"> </w:t>
      </w:r>
    </w:p>
    <w:p w:rsidRPr="008F0A80" w:rsidR="00737F30" w:rsidP="1AAC11D3" w:rsidRDefault="00737F30" w14:paraId="0284CB59" w14:textId="5599B73A">
      <w:pPr>
        <w:pStyle w:val="ListParagraph"/>
        <w:numPr>
          <w:ilvl w:val="0"/>
          <w:numId w:val="2"/>
        </w:numPr>
        <w:spacing w:line="264" w:lineRule="auto"/>
        <w:ind w:left="709" w:hanging="425"/>
        <w:jc w:val="both"/>
        <w:rPr>
          <w:i/>
          <w:iCs/>
          <w:sz w:val="22"/>
          <w:szCs w:val="22"/>
        </w:rPr>
      </w:pPr>
      <w:r w:rsidRPr="1AAC11D3">
        <w:rPr>
          <w:sz w:val="22"/>
          <w:szCs w:val="22"/>
        </w:rPr>
        <w:t>The information regar</w:t>
      </w:r>
      <w:r w:rsidRPr="1AAC11D3" w:rsidR="002A7F90">
        <w:rPr>
          <w:sz w:val="22"/>
          <w:szCs w:val="22"/>
        </w:rPr>
        <w:t>ding the serial numbers of the</w:t>
      </w:r>
      <w:r w:rsidRPr="1AAC11D3">
        <w:rPr>
          <w:sz w:val="22"/>
          <w:szCs w:val="22"/>
        </w:rPr>
        <w:t xml:space="preserve"> units</w:t>
      </w:r>
      <w:r w:rsidRPr="1AAC11D3" w:rsidR="002A7F90">
        <w:rPr>
          <w:sz w:val="22"/>
          <w:szCs w:val="22"/>
        </w:rPr>
        <w:t xml:space="preserve"> mentioned in table 1</w:t>
      </w:r>
      <w:r w:rsidRPr="1AAC11D3">
        <w:rPr>
          <w:sz w:val="22"/>
          <w:szCs w:val="22"/>
        </w:rPr>
        <w:t xml:space="preserve"> </w:t>
      </w:r>
      <w:r w:rsidRPr="1AAC11D3" w:rsidR="399F254E">
        <w:rPr>
          <w:sz w:val="22"/>
          <w:szCs w:val="22"/>
        </w:rPr>
        <w:t>is</w:t>
      </w:r>
      <w:r w:rsidRPr="1AAC11D3" w:rsidR="51314C38">
        <w:rPr>
          <w:sz w:val="22"/>
          <w:szCs w:val="22"/>
        </w:rPr>
        <w:t xml:space="preserve"> part of this report</w:t>
      </w:r>
      <w:r w:rsidRPr="1AAC11D3" w:rsidR="5A4CB2B5">
        <w:rPr>
          <w:sz w:val="22"/>
          <w:szCs w:val="22"/>
        </w:rPr>
        <w:t xml:space="preserve"> (with the file name </w:t>
      </w:r>
      <w:proofErr w:type="spellStart"/>
      <w:r w:rsidRPr="1AAC11D3" w:rsidR="5A4CB2B5">
        <w:rPr>
          <w:sz w:val="22"/>
          <w:szCs w:val="22"/>
        </w:rPr>
        <w:t>UK_Retirement_Serial</w:t>
      </w:r>
      <w:r w:rsidRPr="1AAC11D3" w:rsidR="0919D31D">
        <w:rPr>
          <w:sz w:val="22"/>
          <w:szCs w:val="22"/>
        </w:rPr>
        <w:t>_</w:t>
      </w:r>
      <w:r w:rsidRPr="1AAC11D3" w:rsidR="5A4CB2B5">
        <w:rPr>
          <w:sz w:val="22"/>
          <w:szCs w:val="22"/>
        </w:rPr>
        <w:t>Numbers</w:t>
      </w:r>
      <w:proofErr w:type="spellEnd"/>
      <w:r w:rsidRPr="1AAC11D3" w:rsidR="5A4CB2B5">
        <w:rPr>
          <w:sz w:val="22"/>
          <w:szCs w:val="22"/>
        </w:rPr>
        <w:t>).</w:t>
      </w:r>
    </w:p>
    <w:p w:rsidRPr="007B6EC8" w:rsidR="00556E2F" w:rsidP="00581594" w:rsidRDefault="00302E5D" w14:paraId="0284CB5C" w14:textId="6FF24482">
      <w:pPr>
        <w:pStyle w:val="ListParagraph"/>
        <w:numPr>
          <w:ilvl w:val="1"/>
          <w:numId w:val="3"/>
        </w:numPr>
        <w:spacing w:line="264" w:lineRule="auto"/>
        <w:ind w:left="709" w:hanging="425"/>
        <w:jc w:val="both"/>
        <w:rPr>
          <w:b/>
          <w:sz w:val="22"/>
          <w:szCs w:val="22"/>
        </w:rPr>
      </w:pPr>
      <w:r>
        <w:rPr>
          <w:b/>
          <w:sz w:val="22"/>
          <w:szCs w:val="22"/>
        </w:rPr>
        <w:t>C</w:t>
      </w:r>
      <w:r w:rsidRPr="007B6EC8" w:rsidR="00556E2F">
        <w:rPr>
          <w:b/>
          <w:sz w:val="22"/>
          <w:szCs w:val="22"/>
        </w:rPr>
        <w:t>arr</w:t>
      </w:r>
      <w:r w:rsidR="00032AD1">
        <w:rPr>
          <w:b/>
          <w:sz w:val="22"/>
          <w:szCs w:val="22"/>
        </w:rPr>
        <w:t xml:space="preserve">y </w:t>
      </w:r>
      <w:r w:rsidRPr="007B6EC8" w:rsidR="00556E2F">
        <w:rPr>
          <w:b/>
          <w:sz w:val="22"/>
          <w:szCs w:val="22"/>
        </w:rPr>
        <w:t>over</w:t>
      </w:r>
      <w:r>
        <w:rPr>
          <w:b/>
          <w:sz w:val="22"/>
          <w:szCs w:val="22"/>
        </w:rPr>
        <w:t xml:space="preserve"> of </w:t>
      </w:r>
      <w:proofErr w:type="gramStart"/>
      <w:r>
        <w:rPr>
          <w:b/>
          <w:sz w:val="22"/>
          <w:szCs w:val="22"/>
        </w:rPr>
        <w:t>units</w:t>
      </w:r>
      <w:proofErr w:type="gramEnd"/>
    </w:p>
    <w:p w:rsidRPr="00F724DD" w:rsidR="00032AD1" w:rsidRDefault="00F11F13" w14:paraId="472C5C25" w14:textId="092E3349">
      <w:pPr>
        <w:pStyle w:val="ListParagraph"/>
        <w:numPr>
          <w:ilvl w:val="0"/>
          <w:numId w:val="2"/>
        </w:numPr>
        <w:spacing w:after="288" w:afterLines="120" w:line="264" w:lineRule="auto"/>
        <w:ind w:left="709" w:hanging="425"/>
        <w:jc w:val="both"/>
        <w:rPr>
          <w:sz w:val="22"/>
          <w:szCs w:val="22"/>
        </w:rPr>
      </w:pPr>
      <w:r w:rsidRPr="6ECA80BA">
        <w:rPr>
          <w:sz w:val="22"/>
          <w:szCs w:val="22"/>
        </w:rPr>
        <w:t>United Kingdom</w:t>
      </w:r>
      <w:r w:rsidRPr="6ECA80BA" w:rsidR="0096247B">
        <w:rPr>
          <w:sz w:val="22"/>
          <w:szCs w:val="22"/>
        </w:rPr>
        <w:t xml:space="preserve"> does not wish to carry over any KP units.</w:t>
      </w:r>
      <w:r>
        <w:tab/>
      </w:r>
      <w:r>
        <w:br/>
      </w:r>
    </w:p>
    <w:p w:rsidR="00032AD1" w:rsidP="00032AD1" w:rsidRDefault="00032AD1" w14:paraId="3F342B52" w14:textId="64C36057">
      <w:pPr>
        <w:spacing w:after="288" w:afterLines="120" w:line="264" w:lineRule="auto"/>
        <w:jc w:val="center"/>
        <w:rPr>
          <w:sz w:val="22"/>
          <w:szCs w:val="22"/>
        </w:rPr>
      </w:pPr>
      <w:r>
        <w:rPr>
          <w:sz w:val="22"/>
          <w:szCs w:val="22"/>
        </w:rPr>
        <w:t>___________________</w:t>
      </w:r>
    </w:p>
    <w:p w:rsidR="001B4E17" w:rsidP="00C537E4" w:rsidRDefault="001B4E17" w14:paraId="60B68842" w14:textId="77777777">
      <w:pPr>
        <w:rPr>
          <w:sz w:val="22"/>
          <w:szCs w:val="22"/>
        </w:rPr>
      </w:pPr>
    </w:p>
    <w:p w:rsidR="001B4E17" w:rsidRDefault="001B4E17" w14:paraId="7E747ABB" w14:textId="77777777">
      <w:pPr>
        <w:rPr>
          <w:sz w:val="22"/>
          <w:szCs w:val="22"/>
        </w:rPr>
      </w:pPr>
      <w:r>
        <w:rPr>
          <w:sz w:val="22"/>
          <w:szCs w:val="22"/>
        </w:rPr>
        <w:br w:type="page"/>
      </w:r>
    </w:p>
    <w:p w:rsidR="00C537E4" w:rsidP="1AAC11D3" w:rsidRDefault="00C537E4" w14:paraId="3466653B" w14:textId="559634CD">
      <w:pPr>
        <w:rPr>
          <w:b/>
          <w:bCs/>
          <w:sz w:val="22"/>
          <w:szCs w:val="22"/>
        </w:rPr>
      </w:pPr>
      <w:r w:rsidRPr="6ECA80BA">
        <w:rPr>
          <w:b/>
          <w:bCs/>
          <w:sz w:val="22"/>
          <w:szCs w:val="22"/>
        </w:rPr>
        <w:t xml:space="preserve">Annex </w:t>
      </w:r>
    </w:p>
    <w:p w:rsidRPr="001B4E17" w:rsidR="001B4E17" w:rsidP="001B4E17" w:rsidRDefault="001B4E17" w14:paraId="0C743D8A" w14:textId="77777777">
      <w:pPr>
        <w:autoSpaceDE w:val="0"/>
        <w:autoSpaceDN w:val="0"/>
        <w:adjustRightInd w:val="0"/>
        <w:rPr>
          <w:rFonts w:ascii="Calibri" w:hAnsi="Calibri" w:cs="Calibri"/>
          <w:color w:val="000000"/>
          <w:lang w:val="en-GB"/>
        </w:rPr>
      </w:pPr>
    </w:p>
    <w:p w:rsidRPr="005105C7" w:rsidR="001B4E17" w:rsidP="001B4E17" w:rsidRDefault="001B4E17" w14:paraId="15DFD0D5" w14:textId="632DEECB">
      <w:pPr>
        <w:autoSpaceDE w:val="0"/>
        <w:autoSpaceDN w:val="0"/>
        <w:adjustRightInd w:val="0"/>
        <w:rPr>
          <w:color w:val="000000"/>
          <w:sz w:val="22"/>
          <w:szCs w:val="22"/>
          <w:lang w:val="en-GB"/>
        </w:rPr>
      </w:pPr>
      <w:r w:rsidRPr="005105C7">
        <w:rPr>
          <w:color w:val="000000"/>
          <w:sz w:val="22"/>
          <w:szCs w:val="22"/>
          <w:lang w:val="en-GB"/>
        </w:rPr>
        <w:t xml:space="preserve">The terms of the </w:t>
      </w:r>
      <w:r w:rsidRPr="005105C7">
        <w:rPr>
          <w:b/>
          <w:bCs/>
          <w:color w:val="000000"/>
          <w:sz w:val="22"/>
          <w:szCs w:val="22"/>
          <w:lang w:val="en-GB"/>
        </w:rPr>
        <w:t>agreement to fulfil jointly the commitments of the European Union, its Member States</w:t>
      </w:r>
      <w:r w:rsidRPr="005105C7" w:rsidR="00F31EE1">
        <w:rPr>
          <w:rStyle w:val="FootnoteReference"/>
          <w:b/>
          <w:bCs/>
          <w:color w:val="000000"/>
          <w:sz w:val="22"/>
          <w:szCs w:val="22"/>
          <w:lang w:val="en-GB"/>
        </w:rPr>
        <w:footnoteReference w:id="7"/>
      </w:r>
      <w:r w:rsidRPr="005105C7">
        <w:rPr>
          <w:b/>
          <w:bCs/>
          <w:color w:val="000000"/>
          <w:sz w:val="14"/>
          <w:szCs w:val="14"/>
          <w:lang w:val="en-GB"/>
        </w:rPr>
        <w:t xml:space="preserve"> </w:t>
      </w:r>
      <w:r w:rsidRPr="005105C7">
        <w:rPr>
          <w:b/>
          <w:bCs/>
          <w:color w:val="000000"/>
          <w:sz w:val="22"/>
          <w:szCs w:val="22"/>
          <w:lang w:val="en-GB"/>
        </w:rPr>
        <w:t>and Iceland (‘the members’) under Article 3 of the Kyoto Protocol for the second commitment period of the Kyoto Protocol</w:t>
      </w:r>
      <w:r w:rsidRPr="005105C7">
        <w:rPr>
          <w:color w:val="000000"/>
          <w:sz w:val="22"/>
          <w:szCs w:val="22"/>
          <w:lang w:val="en-GB"/>
        </w:rPr>
        <w:t xml:space="preserve">, as adopted by the Conference of the Parties to the United Nations Framework Convention on Climate Change (‘UNFCCC’) serving as the meeting of the Parties to the Kyoto Protocol in Doha, by Decision 1/CMP.8, in accordance with Article 4 of the Kyoto Protocol provides that </w:t>
      </w:r>
      <w:r w:rsidRPr="005105C7">
        <w:rPr>
          <w:b/>
          <w:bCs/>
          <w:color w:val="000000"/>
          <w:sz w:val="22"/>
          <w:szCs w:val="22"/>
          <w:lang w:val="en-GB"/>
        </w:rPr>
        <w:t xml:space="preserve">the members will fulfil their commitments by ensuring that, </w:t>
      </w:r>
      <w:r w:rsidRPr="005105C7">
        <w:rPr>
          <w:color w:val="000000"/>
          <w:sz w:val="22"/>
          <w:szCs w:val="22"/>
          <w:lang w:val="en-GB"/>
        </w:rPr>
        <w:t xml:space="preserve">in accordance with Article 4(5) and (6) of the Kyoto Protocol, </w:t>
      </w:r>
      <w:r w:rsidRPr="005105C7">
        <w:rPr>
          <w:b/>
          <w:bCs/>
          <w:color w:val="000000"/>
          <w:sz w:val="22"/>
          <w:szCs w:val="22"/>
          <w:lang w:val="en-GB"/>
        </w:rPr>
        <w:t xml:space="preserve">the combined sum of the aggregate anthropogenic carbon dioxide equivalent emissions </w:t>
      </w:r>
      <w:r w:rsidRPr="005105C7">
        <w:rPr>
          <w:color w:val="000000"/>
          <w:sz w:val="22"/>
          <w:szCs w:val="22"/>
          <w:lang w:val="en-GB"/>
        </w:rPr>
        <w:t xml:space="preserve">of the greenhouse gases listed in Annex A to the Kyoto Protocol in the Member States and Iceland </w:t>
      </w:r>
      <w:r w:rsidRPr="005105C7">
        <w:rPr>
          <w:b/>
          <w:bCs/>
          <w:color w:val="000000"/>
          <w:sz w:val="22"/>
          <w:szCs w:val="22"/>
          <w:lang w:val="en-GB"/>
        </w:rPr>
        <w:t xml:space="preserve">does not exceed their joint assigned amount. </w:t>
      </w:r>
    </w:p>
    <w:p w:rsidRPr="005105C7" w:rsidR="005B315D" w:rsidP="001B4E17" w:rsidRDefault="005B315D" w14:paraId="37CC1AA9" w14:textId="77777777">
      <w:pPr>
        <w:autoSpaceDE w:val="0"/>
        <w:autoSpaceDN w:val="0"/>
        <w:adjustRightInd w:val="0"/>
        <w:rPr>
          <w:color w:val="000000"/>
          <w:sz w:val="22"/>
          <w:szCs w:val="22"/>
          <w:lang w:val="en-GB"/>
        </w:rPr>
      </w:pPr>
    </w:p>
    <w:p w:rsidRPr="005105C7" w:rsidR="001B4E17" w:rsidP="001B4E17" w:rsidRDefault="001B4E17" w14:paraId="465B4076" w14:textId="72572106">
      <w:pPr>
        <w:autoSpaceDE w:val="0"/>
        <w:autoSpaceDN w:val="0"/>
        <w:adjustRightInd w:val="0"/>
        <w:rPr>
          <w:color w:val="000000"/>
          <w:sz w:val="22"/>
          <w:szCs w:val="22"/>
          <w:lang w:val="en-GB"/>
        </w:rPr>
      </w:pPr>
      <w:r w:rsidRPr="005105C7">
        <w:rPr>
          <w:color w:val="000000"/>
          <w:sz w:val="22"/>
          <w:szCs w:val="22"/>
          <w:lang w:val="en-GB"/>
        </w:rPr>
        <w:t xml:space="preserve">The joint assigned amount of the EU, its Member States and Iceland for the period 2013-2020, as established in the initial review report, is 37 604 433 280 t CO2 </w:t>
      </w:r>
      <w:proofErr w:type="spellStart"/>
      <w:r w:rsidRPr="005105C7">
        <w:rPr>
          <w:color w:val="000000"/>
          <w:sz w:val="22"/>
          <w:szCs w:val="22"/>
          <w:lang w:val="en-GB"/>
        </w:rPr>
        <w:t>eq</w:t>
      </w:r>
      <w:proofErr w:type="spellEnd"/>
      <w:r w:rsidRPr="005105C7" w:rsidR="005B315D">
        <w:rPr>
          <w:rStyle w:val="FootnoteReference"/>
          <w:color w:val="000000"/>
          <w:sz w:val="22"/>
          <w:szCs w:val="22"/>
          <w:lang w:val="en-GB"/>
        </w:rPr>
        <w:footnoteReference w:id="8"/>
      </w:r>
      <w:r w:rsidRPr="005105C7">
        <w:rPr>
          <w:color w:val="000000"/>
          <w:sz w:val="22"/>
          <w:szCs w:val="22"/>
          <w:lang w:val="en-GB"/>
        </w:rPr>
        <w:t xml:space="preserve">. </w:t>
      </w:r>
    </w:p>
    <w:p w:rsidRPr="005105C7" w:rsidR="005B315D" w:rsidP="001B4E17" w:rsidRDefault="005B315D" w14:paraId="06FD9382" w14:textId="77777777">
      <w:pPr>
        <w:autoSpaceDE w:val="0"/>
        <w:autoSpaceDN w:val="0"/>
        <w:adjustRightInd w:val="0"/>
        <w:rPr>
          <w:color w:val="000000"/>
          <w:sz w:val="22"/>
          <w:szCs w:val="22"/>
          <w:lang w:val="en-GB"/>
        </w:rPr>
      </w:pPr>
    </w:p>
    <w:p w:rsidRPr="005105C7" w:rsidR="001B4E17" w:rsidP="001B2740" w:rsidRDefault="001B4E17" w14:paraId="35C4DAD7" w14:textId="669E89CC">
      <w:pPr>
        <w:pStyle w:val="Default"/>
        <w:rPr>
          <w:rFonts w:ascii="Times New Roman" w:hAnsi="Times New Roman" w:cs="Times New Roman"/>
          <w:lang w:val="en-GB" w:eastAsia="en-US"/>
        </w:rPr>
      </w:pPr>
      <w:r w:rsidRPr="1AAC11D3">
        <w:rPr>
          <w:rFonts w:ascii="Times New Roman" w:hAnsi="Times New Roman" w:cs="Times New Roman"/>
          <w:sz w:val="22"/>
          <w:szCs w:val="22"/>
          <w:lang w:val="en-GB"/>
        </w:rPr>
        <w:t xml:space="preserve">The assigned amounts of the individual Member States and Iceland cover the emissions from sectors and gases listed in Annex A to the Kyoto Protocol not covered by the EU’s emissions trading system (ETS), i.e., emissions covered by the EU’s </w:t>
      </w:r>
      <w:r w:rsidRPr="1AAC11D3" w:rsidR="00A51742">
        <w:rPr>
          <w:rFonts w:ascii="Times New Roman" w:hAnsi="Times New Roman" w:cs="Times New Roman"/>
          <w:color w:val="auto"/>
          <w:sz w:val="22"/>
          <w:szCs w:val="22"/>
          <w:lang w:val="en-GB"/>
        </w:rPr>
        <w:t>Effort Sharing Decision.</w:t>
      </w:r>
      <w:r w:rsidRPr="1AAC11D3">
        <w:rPr>
          <w:rFonts w:ascii="Times New Roman" w:hAnsi="Times New Roman" w:cs="Times New Roman"/>
          <w:sz w:val="22"/>
          <w:szCs w:val="22"/>
          <w:lang w:val="en-GB"/>
        </w:rPr>
        <w:t xml:space="preserve"> The assigned amounts for the period 2013-2020 were calculated per each Member State after exclusion of LULUCF activities. However, six countries (NL, UK, DK, PT, </w:t>
      </w:r>
      <w:proofErr w:type="gramStart"/>
      <w:r w:rsidRPr="1AAC11D3">
        <w:rPr>
          <w:rFonts w:ascii="Times New Roman" w:hAnsi="Times New Roman" w:cs="Times New Roman"/>
          <w:sz w:val="22"/>
          <w:szCs w:val="22"/>
          <w:lang w:val="en-GB"/>
        </w:rPr>
        <w:t>IE</w:t>
      </w:r>
      <w:proofErr w:type="gramEnd"/>
      <w:r w:rsidRPr="1AAC11D3">
        <w:rPr>
          <w:rFonts w:ascii="Times New Roman" w:hAnsi="Times New Roman" w:cs="Times New Roman"/>
          <w:sz w:val="22"/>
          <w:szCs w:val="22"/>
          <w:lang w:val="en-GB"/>
        </w:rPr>
        <w:t xml:space="preserve"> and LU) were allowed to include net emissions from deforestation activities in the calculation of their assigned amounts. The total amount assigned to the individual Member States and Iceland is 21 791 343 942 t CO2 eq. A breakdown of the assigned amounts per country is presented in Table A.1. </w:t>
      </w:r>
    </w:p>
    <w:p w:rsidR="1AAC11D3" w:rsidP="1AAC11D3" w:rsidRDefault="1AAC11D3" w14:paraId="39476031" w14:textId="76FE3964">
      <w:pPr>
        <w:pStyle w:val="Default"/>
        <w:rPr>
          <w:rFonts w:ascii="Times New Roman" w:hAnsi="Times New Roman" w:cs="Times New Roman"/>
          <w:sz w:val="22"/>
          <w:szCs w:val="22"/>
          <w:lang w:val="en-GB"/>
        </w:rPr>
      </w:pPr>
    </w:p>
    <w:p w:rsidRPr="005105C7" w:rsidR="001B4E17" w:rsidP="001B4E17" w:rsidRDefault="001B4E17" w14:paraId="5C0C3A21" w14:textId="77777777">
      <w:pPr>
        <w:autoSpaceDE w:val="0"/>
        <w:autoSpaceDN w:val="0"/>
        <w:adjustRightInd w:val="0"/>
        <w:rPr>
          <w:color w:val="000000"/>
          <w:sz w:val="22"/>
          <w:szCs w:val="22"/>
          <w:lang w:val="en-GB"/>
        </w:rPr>
      </w:pPr>
      <w:r w:rsidRPr="1AAC11D3">
        <w:rPr>
          <w:color w:val="000000" w:themeColor="text1"/>
          <w:sz w:val="22"/>
          <w:szCs w:val="22"/>
          <w:lang w:val="en-GB"/>
        </w:rPr>
        <w:t xml:space="preserve">The assigned amount of the Union for the period 2013-2020 amounts to the difference between the joint assigned amount and the sum of the individual assigned amounts of the Member States and Iceland, and is, as established in the UNFCCC initial review report, 15 813 089 338 t CO2 eq. It covers emissions under the EU ETS. The sectors covered by the EU Emissions Trading System are those specified in Annex I of the </w:t>
      </w:r>
      <w:r w:rsidRPr="1AAC11D3">
        <w:rPr>
          <w:sz w:val="22"/>
          <w:szCs w:val="22"/>
          <w:lang w:val="en-GB"/>
        </w:rPr>
        <w:t xml:space="preserve">EU ETS Directive </w:t>
      </w:r>
      <w:r w:rsidRPr="1AAC11D3">
        <w:rPr>
          <w:color w:val="000000" w:themeColor="text1"/>
          <w:sz w:val="22"/>
          <w:szCs w:val="22"/>
          <w:lang w:val="en-GB"/>
        </w:rPr>
        <w:t xml:space="preserve">and taking into account the application of its </w:t>
      </w:r>
      <w:proofErr w:type="gramStart"/>
      <w:r w:rsidRPr="1AAC11D3">
        <w:rPr>
          <w:color w:val="000000" w:themeColor="text1"/>
          <w:sz w:val="22"/>
          <w:szCs w:val="22"/>
          <w:lang w:val="en-GB"/>
        </w:rPr>
        <w:t>Articles</w:t>
      </w:r>
      <w:proofErr w:type="gramEnd"/>
      <w:r w:rsidRPr="1AAC11D3">
        <w:rPr>
          <w:color w:val="000000" w:themeColor="text1"/>
          <w:sz w:val="22"/>
          <w:szCs w:val="22"/>
          <w:lang w:val="en-GB"/>
        </w:rPr>
        <w:t xml:space="preserve"> 24 and 27. </w:t>
      </w:r>
    </w:p>
    <w:p w:rsidRPr="005105C7" w:rsidR="3CFA28FA" w:rsidP="3CFA28FA" w:rsidRDefault="3CFA28FA" w14:paraId="5E28C41F" w14:textId="4E620B40">
      <w:pPr>
        <w:rPr>
          <w:color w:val="000000" w:themeColor="text1"/>
          <w:sz w:val="22"/>
          <w:szCs w:val="22"/>
          <w:lang w:val="en-GB"/>
        </w:rPr>
      </w:pPr>
    </w:p>
    <w:p w:rsidRPr="005105C7" w:rsidR="001B4E17" w:rsidP="001B4E17" w:rsidRDefault="001B4E17" w14:paraId="5C1EDD87" w14:textId="77777777">
      <w:pPr>
        <w:autoSpaceDE w:val="0"/>
        <w:autoSpaceDN w:val="0"/>
        <w:adjustRightInd w:val="0"/>
        <w:rPr>
          <w:color w:val="000000"/>
          <w:sz w:val="22"/>
          <w:szCs w:val="22"/>
          <w:lang w:val="en-GB"/>
        </w:rPr>
      </w:pPr>
      <w:r w:rsidRPr="005105C7">
        <w:rPr>
          <w:color w:val="000000"/>
          <w:sz w:val="22"/>
          <w:szCs w:val="22"/>
          <w:lang w:val="en-GB"/>
        </w:rPr>
        <w:t xml:space="preserve">Based on the above, for the purpose of compliance with the second commitment period of the Kyoto protocol, the </w:t>
      </w:r>
      <w:r w:rsidRPr="005105C7">
        <w:rPr>
          <w:b/>
          <w:bCs/>
          <w:color w:val="000000"/>
          <w:sz w:val="22"/>
          <w:szCs w:val="22"/>
          <w:lang w:val="en-GB"/>
        </w:rPr>
        <w:t xml:space="preserve">assigned amounts of the individual Member States and Iceland should not be compared with the sum of the anthropogenic carbon dioxide equivalent emissions of the greenhouse gases listed in Annex A to the Kyoto Protocol in these individual countries </w:t>
      </w:r>
      <w:r w:rsidRPr="005105C7">
        <w:rPr>
          <w:color w:val="000000"/>
          <w:sz w:val="22"/>
          <w:szCs w:val="22"/>
          <w:lang w:val="en-GB"/>
        </w:rPr>
        <w:t xml:space="preserve">as the calculation of the assigned amounts of these countries excludes ETS emissions on their territory. </w:t>
      </w:r>
    </w:p>
    <w:p w:rsidRPr="005105C7" w:rsidR="001B4E17" w:rsidP="001B4E17" w:rsidRDefault="001B4E17" w14:paraId="554365B1" w14:textId="77777777">
      <w:pPr>
        <w:autoSpaceDE w:val="0"/>
        <w:autoSpaceDN w:val="0"/>
        <w:adjustRightInd w:val="0"/>
        <w:rPr>
          <w:color w:val="000000"/>
          <w:sz w:val="22"/>
          <w:szCs w:val="22"/>
          <w:lang w:val="en-GB"/>
        </w:rPr>
      </w:pPr>
    </w:p>
    <w:tbl>
      <w:tblPr>
        <w:tblStyle w:val="GridTable1Light"/>
        <w:tblW w:w="0" w:type="auto"/>
        <w:tblLayout w:type="fixed"/>
        <w:tblLook w:val="0000" w:firstRow="0" w:lastRow="0" w:firstColumn="0" w:lastColumn="0" w:noHBand="0" w:noVBand="0"/>
      </w:tblPr>
      <w:tblGrid>
        <w:gridCol w:w="3624"/>
        <w:gridCol w:w="3624"/>
      </w:tblGrid>
      <w:tr w:rsidRPr="005105C7" w:rsidR="001B4E17" w:rsidTr="00DC73DA" w14:paraId="789FEFED" w14:textId="77777777">
        <w:trPr>
          <w:trHeight w:val="245"/>
        </w:trPr>
        <w:tc>
          <w:tcPr>
            <w:tcW w:w="3624" w:type="dxa"/>
          </w:tcPr>
          <w:p w:rsidRPr="005105C7" w:rsidR="001B4E17" w:rsidP="001B4E17" w:rsidRDefault="001B4E17" w14:paraId="27256035" w14:textId="77777777">
            <w:pPr>
              <w:autoSpaceDE w:val="0"/>
              <w:autoSpaceDN w:val="0"/>
              <w:adjustRightInd w:val="0"/>
              <w:rPr>
                <w:color w:val="000000"/>
                <w:sz w:val="23"/>
                <w:szCs w:val="23"/>
                <w:lang w:val="en-GB"/>
              </w:rPr>
            </w:pPr>
            <w:r w:rsidRPr="005105C7">
              <w:rPr>
                <w:b/>
                <w:bCs/>
                <w:color w:val="000000"/>
                <w:sz w:val="22"/>
                <w:szCs w:val="22"/>
                <w:lang w:val="en-GB"/>
              </w:rPr>
              <w:t xml:space="preserve">Table A–1 - Assigned amount per member to the agreement </w:t>
            </w:r>
            <w:r w:rsidRPr="005105C7">
              <w:rPr>
                <w:b/>
                <w:bCs/>
                <w:color w:val="000000"/>
                <w:sz w:val="23"/>
                <w:szCs w:val="23"/>
                <w:lang w:val="en-GB"/>
              </w:rPr>
              <w:t xml:space="preserve">Country </w:t>
            </w:r>
          </w:p>
        </w:tc>
        <w:tc>
          <w:tcPr>
            <w:tcW w:w="3624" w:type="dxa"/>
          </w:tcPr>
          <w:p w:rsidRPr="005105C7" w:rsidR="001B4E17" w:rsidP="001B4E17" w:rsidRDefault="001B4E17" w14:paraId="5FE894C3" w14:textId="77777777">
            <w:pPr>
              <w:autoSpaceDE w:val="0"/>
              <w:autoSpaceDN w:val="0"/>
              <w:adjustRightInd w:val="0"/>
              <w:rPr>
                <w:color w:val="000000"/>
                <w:sz w:val="23"/>
                <w:szCs w:val="23"/>
                <w:lang w:val="en-GB"/>
              </w:rPr>
            </w:pPr>
            <w:r w:rsidRPr="005105C7">
              <w:rPr>
                <w:b/>
                <w:bCs/>
                <w:color w:val="000000"/>
                <w:sz w:val="23"/>
                <w:szCs w:val="23"/>
                <w:lang w:val="en-GB"/>
              </w:rPr>
              <w:t>Assigned amount in tonnes CO</w:t>
            </w:r>
            <w:r w:rsidRPr="005105C7">
              <w:rPr>
                <w:b/>
                <w:bCs/>
                <w:color w:val="000000"/>
                <w:sz w:val="16"/>
                <w:szCs w:val="16"/>
                <w:lang w:val="en-GB"/>
              </w:rPr>
              <w:t xml:space="preserve">2 </w:t>
            </w:r>
            <w:r w:rsidRPr="005105C7">
              <w:rPr>
                <w:b/>
                <w:bCs/>
                <w:color w:val="000000"/>
                <w:sz w:val="23"/>
                <w:szCs w:val="23"/>
                <w:lang w:val="en-GB"/>
              </w:rPr>
              <w:t xml:space="preserve">eq. considering Article 3 (7bis) </w:t>
            </w:r>
          </w:p>
        </w:tc>
      </w:tr>
      <w:tr w:rsidRPr="005105C7" w:rsidR="001B4E17" w:rsidTr="00DC73DA" w14:paraId="01E6D135" w14:textId="77777777">
        <w:trPr>
          <w:trHeight w:val="109"/>
        </w:trPr>
        <w:tc>
          <w:tcPr>
            <w:tcW w:w="3624" w:type="dxa"/>
          </w:tcPr>
          <w:p w:rsidRPr="005105C7" w:rsidR="001B4E17" w:rsidP="001B4E17" w:rsidRDefault="001B4E17" w14:paraId="2AC4574D" w14:textId="77777777">
            <w:pPr>
              <w:autoSpaceDE w:val="0"/>
              <w:autoSpaceDN w:val="0"/>
              <w:adjustRightInd w:val="0"/>
              <w:rPr>
                <w:color w:val="000000"/>
                <w:sz w:val="23"/>
                <w:szCs w:val="23"/>
                <w:lang w:val="en-GB"/>
              </w:rPr>
            </w:pPr>
            <w:r w:rsidRPr="005105C7">
              <w:rPr>
                <w:color w:val="000000"/>
                <w:sz w:val="23"/>
                <w:szCs w:val="23"/>
                <w:lang w:val="en-GB"/>
              </w:rPr>
              <w:t xml:space="preserve">Austria </w:t>
            </w:r>
          </w:p>
        </w:tc>
        <w:tc>
          <w:tcPr>
            <w:tcW w:w="3624" w:type="dxa"/>
          </w:tcPr>
          <w:p w:rsidRPr="005105C7" w:rsidR="001B4E17" w:rsidP="001B4E17" w:rsidRDefault="001B4E17" w14:paraId="4955F6B8" w14:textId="04973E34">
            <w:pPr>
              <w:autoSpaceDE w:val="0"/>
              <w:autoSpaceDN w:val="0"/>
              <w:adjustRightInd w:val="0"/>
              <w:rPr>
                <w:color w:val="000000"/>
                <w:sz w:val="23"/>
                <w:szCs w:val="23"/>
                <w:lang w:val="en-GB"/>
              </w:rPr>
            </w:pPr>
            <w:r w:rsidRPr="005105C7">
              <w:rPr>
                <w:color w:val="000000"/>
                <w:sz w:val="23"/>
                <w:szCs w:val="23"/>
                <w:lang w:val="en-GB"/>
              </w:rPr>
              <w:t>405</w:t>
            </w:r>
            <w:r w:rsidRPr="005105C7" w:rsidR="00CC4961">
              <w:rPr>
                <w:color w:val="000000"/>
                <w:sz w:val="23"/>
                <w:szCs w:val="23"/>
                <w:lang w:val="en-GB"/>
              </w:rPr>
              <w:t>,</w:t>
            </w:r>
            <w:r w:rsidRPr="005105C7">
              <w:rPr>
                <w:color w:val="000000"/>
                <w:sz w:val="23"/>
                <w:szCs w:val="23"/>
                <w:lang w:val="en-GB"/>
              </w:rPr>
              <w:t>712</w:t>
            </w:r>
            <w:r w:rsidRPr="005105C7" w:rsidR="00CC4961">
              <w:rPr>
                <w:color w:val="000000"/>
                <w:sz w:val="23"/>
                <w:szCs w:val="23"/>
                <w:lang w:val="en-GB"/>
              </w:rPr>
              <w:t>,</w:t>
            </w:r>
            <w:r w:rsidRPr="005105C7">
              <w:rPr>
                <w:color w:val="000000"/>
                <w:sz w:val="23"/>
                <w:szCs w:val="23"/>
                <w:lang w:val="en-GB"/>
              </w:rPr>
              <w:t>317</w:t>
            </w:r>
          </w:p>
        </w:tc>
      </w:tr>
      <w:tr w:rsidRPr="005105C7" w:rsidR="001B4E17" w:rsidTr="00DC73DA" w14:paraId="0F3441AA" w14:textId="77777777">
        <w:trPr>
          <w:trHeight w:val="109"/>
        </w:trPr>
        <w:tc>
          <w:tcPr>
            <w:tcW w:w="3624" w:type="dxa"/>
          </w:tcPr>
          <w:p w:rsidRPr="005105C7" w:rsidR="001B4E17" w:rsidP="001B4E17" w:rsidRDefault="001B4E17" w14:paraId="0EF481FF" w14:textId="77777777">
            <w:pPr>
              <w:autoSpaceDE w:val="0"/>
              <w:autoSpaceDN w:val="0"/>
              <w:adjustRightInd w:val="0"/>
              <w:rPr>
                <w:color w:val="000000"/>
                <w:sz w:val="23"/>
                <w:szCs w:val="23"/>
                <w:lang w:val="en-GB"/>
              </w:rPr>
            </w:pPr>
            <w:r w:rsidRPr="005105C7">
              <w:rPr>
                <w:color w:val="000000"/>
                <w:sz w:val="23"/>
                <w:szCs w:val="23"/>
                <w:lang w:val="en-GB"/>
              </w:rPr>
              <w:t xml:space="preserve">Belgium </w:t>
            </w:r>
          </w:p>
        </w:tc>
        <w:tc>
          <w:tcPr>
            <w:tcW w:w="3624" w:type="dxa"/>
          </w:tcPr>
          <w:p w:rsidRPr="005105C7" w:rsidR="001B4E17" w:rsidP="001B4E17" w:rsidRDefault="001B4E17" w14:paraId="552BDFC4" w14:textId="38753C4E">
            <w:pPr>
              <w:autoSpaceDE w:val="0"/>
              <w:autoSpaceDN w:val="0"/>
              <w:adjustRightInd w:val="0"/>
              <w:rPr>
                <w:color w:val="000000"/>
                <w:sz w:val="23"/>
                <w:szCs w:val="23"/>
                <w:lang w:val="en-GB"/>
              </w:rPr>
            </w:pPr>
            <w:r w:rsidRPr="005105C7">
              <w:rPr>
                <w:color w:val="000000"/>
                <w:sz w:val="23"/>
                <w:szCs w:val="23"/>
                <w:lang w:val="en-GB"/>
              </w:rPr>
              <w:t>584</w:t>
            </w:r>
            <w:r w:rsidRPr="005105C7" w:rsidR="00CC4961">
              <w:rPr>
                <w:color w:val="000000"/>
                <w:sz w:val="23"/>
                <w:szCs w:val="23"/>
                <w:lang w:val="en-GB"/>
              </w:rPr>
              <w:t>,</w:t>
            </w:r>
            <w:r w:rsidRPr="005105C7">
              <w:rPr>
                <w:color w:val="000000"/>
                <w:sz w:val="23"/>
                <w:szCs w:val="23"/>
                <w:lang w:val="en-GB"/>
              </w:rPr>
              <w:t>228</w:t>
            </w:r>
            <w:r w:rsidRPr="005105C7" w:rsidR="00CC4961">
              <w:rPr>
                <w:color w:val="000000"/>
                <w:sz w:val="23"/>
                <w:szCs w:val="23"/>
                <w:lang w:val="en-GB"/>
              </w:rPr>
              <w:t>,</w:t>
            </w:r>
            <w:r w:rsidRPr="005105C7">
              <w:rPr>
                <w:color w:val="000000"/>
                <w:sz w:val="23"/>
                <w:szCs w:val="23"/>
                <w:lang w:val="en-GB"/>
              </w:rPr>
              <w:t>513</w:t>
            </w:r>
          </w:p>
        </w:tc>
      </w:tr>
      <w:tr w:rsidRPr="005105C7" w:rsidR="001B4E17" w:rsidTr="00DC73DA" w14:paraId="69877F05" w14:textId="77777777">
        <w:trPr>
          <w:trHeight w:val="109"/>
        </w:trPr>
        <w:tc>
          <w:tcPr>
            <w:tcW w:w="3624" w:type="dxa"/>
          </w:tcPr>
          <w:p w:rsidRPr="005105C7" w:rsidR="001B4E17" w:rsidP="001B4E17" w:rsidRDefault="001B4E17" w14:paraId="62C7D9F7" w14:textId="77777777">
            <w:pPr>
              <w:autoSpaceDE w:val="0"/>
              <w:autoSpaceDN w:val="0"/>
              <w:adjustRightInd w:val="0"/>
              <w:rPr>
                <w:color w:val="000000"/>
                <w:sz w:val="23"/>
                <w:szCs w:val="23"/>
                <w:lang w:val="en-GB"/>
              </w:rPr>
            </w:pPr>
            <w:r w:rsidRPr="005105C7">
              <w:rPr>
                <w:color w:val="000000"/>
                <w:sz w:val="23"/>
                <w:szCs w:val="23"/>
                <w:lang w:val="en-GB"/>
              </w:rPr>
              <w:t xml:space="preserve">Bulgaria </w:t>
            </w:r>
          </w:p>
        </w:tc>
        <w:tc>
          <w:tcPr>
            <w:tcW w:w="3624" w:type="dxa"/>
          </w:tcPr>
          <w:p w:rsidRPr="005105C7" w:rsidR="001B4E17" w:rsidP="001B4E17" w:rsidRDefault="001B4E17" w14:paraId="2801D650" w14:textId="65EC61EA">
            <w:pPr>
              <w:autoSpaceDE w:val="0"/>
              <w:autoSpaceDN w:val="0"/>
              <w:adjustRightInd w:val="0"/>
              <w:rPr>
                <w:color w:val="000000"/>
                <w:sz w:val="23"/>
                <w:szCs w:val="23"/>
                <w:lang w:val="en-GB"/>
              </w:rPr>
            </w:pPr>
            <w:r w:rsidRPr="005105C7">
              <w:rPr>
                <w:color w:val="000000"/>
                <w:sz w:val="23"/>
                <w:szCs w:val="23"/>
                <w:lang w:val="en-GB"/>
              </w:rPr>
              <w:t>222</w:t>
            </w:r>
            <w:r w:rsidRPr="005105C7" w:rsidR="00CC4961">
              <w:rPr>
                <w:color w:val="000000"/>
                <w:sz w:val="23"/>
                <w:szCs w:val="23"/>
                <w:lang w:val="en-GB"/>
              </w:rPr>
              <w:t>,</w:t>
            </w:r>
            <w:r w:rsidRPr="005105C7">
              <w:rPr>
                <w:color w:val="000000"/>
                <w:sz w:val="23"/>
                <w:szCs w:val="23"/>
                <w:lang w:val="en-GB"/>
              </w:rPr>
              <w:t>945</w:t>
            </w:r>
            <w:r w:rsidRPr="005105C7" w:rsidR="00CC4961">
              <w:rPr>
                <w:color w:val="000000"/>
                <w:sz w:val="23"/>
                <w:szCs w:val="23"/>
                <w:lang w:val="en-GB"/>
              </w:rPr>
              <w:t>,</w:t>
            </w:r>
            <w:r w:rsidRPr="005105C7">
              <w:rPr>
                <w:color w:val="000000"/>
                <w:sz w:val="23"/>
                <w:szCs w:val="23"/>
                <w:lang w:val="en-GB"/>
              </w:rPr>
              <w:t>983</w:t>
            </w:r>
          </w:p>
        </w:tc>
      </w:tr>
      <w:tr w:rsidRPr="005105C7" w:rsidR="001B4E17" w:rsidTr="00DC73DA" w14:paraId="1D8120E8" w14:textId="77777777">
        <w:trPr>
          <w:trHeight w:val="109"/>
        </w:trPr>
        <w:tc>
          <w:tcPr>
            <w:tcW w:w="3624" w:type="dxa"/>
          </w:tcPr>
          <w:p w:rsidRPr="005105C7" w:rsidR="001B4E17" w:rsidP="001B4E17" w:rsidRDefault="001B4E17" w14:paraId="0E20D95B" w14:textId="77777777">
            <w:pPr>
              <w:autoSpaceDE w:val="0"/>
              <w:autoSpaceDN w:val="0"/>
              <w:adjustRightInd w:val="0"/>
              <w:rPr>
                <w:color w:val="000000"/>
                <w:sz w:val="23"/>
                <w:szCs w:val="23"/>
                <w:lang w:val="en-GB"/>
              </w:rPr>
            </w:pPr>
            <w:r w:rsidRPr="005105C7">
              <w:rPr>
                <w:color w:val="000000"/>
                <w:sz w:val="23"/>
                <w:szCs w:val="23"/>
                <w:lang w:val="en-GB"/>
              </w:rPr>
              <w:t xml:space="preserve">Croatia </w:t>
            </w:r>
          </w:p>
        </w:tc>
        <w:tc>
          <w:tcPr>
            <w:tcW w:w="3624" w:type="dxa"/>
          </w:tcPr>
          <w:p w:rsidRPr="005105C7" w:rsidR="001B4E17" w:rsidP="001B4E17" w:rsidRDefault="001B4E17" w14:paraId="1D3F392C" w14:textId="5AAE25C8">
            <w:pPr>
              <w:autoSpaceDE w:val="0"/>
              <w:autoSpaceDN w:val="0"/>
              <w:adjustRightInd w:val="0"/>
              <w:rPr>
                <w:color w:val="000000"/>
                <w:sz w:val="23"/>
                <w:szCs w:val="23"/>
                <w:lang w:val="en-GB"/>
              </w:rPr>
            </w:pPr>
            <w:r w:rsidRPr="005105C7">
              <w:rPr>
                <w:color w:val="000000"/>
                <w:sz w:val="23"/>
                <w:szCs w:val="23"/>
                <w:lang w:val="en-GB"/>
              </w:rPr>
              <w:t>162</w:t>
            </w:r>
            <w:r w:rsidRPr="005105C7" w:rsidR="00CC4961">
              <w:rPr>
                <w:color w:val="000000"/>
                <w:sz w:val="23"/>
                <w:szCs w:val="23"/>
                <w:lang w:val="en-GB"/>
              </w:rPr>
              <w:t>,</w:t>
            </w:r>
            <w:r w:rsidRPr="005105C7">
              <w:rPr>
                <w:color w:val="000000"/>
                <w:sz w:val="23"/>
                <w:szCs w:val="23"/>
                <w:lang w:val="en-GB"/>
              </w:rPr>
              <w:t>271</w:t>
            </w:r>
            <w:r w:rsidRPr="005105C7" w:rsidR="00CC4961">
              <w:rPr>
                <w:color w:val="000000"/>
                <w:sz w:val="23"/>
                <w:szCs w:val="23"/>
                <w:lang w:val="en-GB"/>
              </w:rPr>
              <w:t>,</w:t>
            </w:r>
            <w:r w:rsidRPr="005105C7">
              <w:rPr>
                <w:color w:val="000000"/>
                <w:sz w:val="23"/>
                <w:szCs w:val="23"/>
                <w:lang w:val="en-GB"/>
              </w:rPr>
              <w:t>086</w:t>
            </w:r>
          </w:p>
        </w:tc>
      </w:tr>
      <w:tr w:rsidRPr="005105C7" w:rsidR="001B4E17" w:rsidTr="00DC73DA" w14:paraId="2F6415DB" w14:textId="77777777">
        <w:trPr>
          <w:trHeight w:val="109"/>
        </w:trPr>
        <w:tc>
          <w:tcPr>
            <w:tcW w:w="3624" w:type="dxa"/>
          </w:tcPr>
          <w:p w:rsidRPr="005105C7" w:rsidR="001B4E17" w:rsidP="001B4E17" w:rsidRDefault="001B4E17" w14:paraId="7DD8288A" w14:textId="77777777">
            <w:pPr>
              <w:autoSpaceDE w:val="0"/>
              <w:autoSpaceDN w:val="0"/>
              <w:adjustRightInd w:val="0"/>
              <w:rPr>
                <w:color w:val="000000"/>
                <w:sz w:val="23"/>
                <w:szCs w:val="23"/>
                <w:lang w:val="en-GB"/>
              </w:rPr>
            </w:pPr>
            <w:r w:rsidRPr="005105C7">
              <w:rPr>
                <w:color w:val="000000"/>
                <w:sz w:val="23"/>
                <w:szCs w:val="23"/>
                <w:lang w:val="en-GB"/>
              </w:rPr>
              <w:t xml:space="preserve">Cyprus </w:t>
            </w:r>
          </w:p>
        </w:tc>
        <w:tc>
          <w:tcPr>
            <w:tcW w:w="3624" w:type="dxa"/>
          </w:tcPr>
          <w:p w:rsidRPr="005105C7" w:rsidR="001B4E17" w:rsidP="001B4E17" w:rsidRDefault="001B4E17" w14:paraId="6898222D" w14:textId="431D6B67">
            <w:pPr>
              <w:autoSpaceDE w:val="0"/>
              <w:autoSpaceDN w:val="0"/>
              <w:adjustRightInd w:val="0"/>
              <w:rPr>
                <w:color w:val="000000"/>
                <w:sz w:val="23"/>
                <w:szCs w:val="23"/>
                <w:lang w:val="en-GB"/>
              </w:rPr>
            </w:pPr>
            <w:r w:rsidRPr="005105C7">
              <w:rPr>
                <w:color w:val="000000"/>
                <w:sz w:val="23"/>
                <w:szCs w:val="23"/>
                <w:lang w:val="en-GB"/>
              </w:rPr>
              <w:t>47</w:t>
            </w:r>
            <w:r w:rsidRPr="005105C7" w:rsidR="00CC4961">
              <w:rPr>
                <w:color w:val="000000"/>
                <w:sz w:val="23"/>
                <w:szCs w:val="23"/>
                <w:lang w:val="en-GB"/>
              </w:rPr>
              <w:t>,</w:t>
            </w:r>
            <w:r w:rsidRPr="005105C7">
              <w:rPr>
                <w:color w:val="000000"/>
                <w:sz w:val="23"/>
                <w:szCs w:val="23"/>
                <w:lang w:val="en-GB"/>
              </w:rPr>
              <w:t>450</w:t>
            </w:r>
            <w:r w:rsidRPr="005105C7" w:rsidR="00CC4961">
              <w:rPr>
                <w:color w:val="000000"/>
                <w:sz w:val="23"/>
                <w:szCs w:val="23"/>
                <w:lang w:val="en-GB"/>
              </w:rPr>
              <w:t>,</w:t>
            </w:r>
            <w:r w:rsidRPr="005105C7">
              <w:rPr>
                <w:color w:val="000000"/>
                <w:sz w:val="23"/>
                <w:szCs w:val="23"/>
                <w:lang w:val="en-GB"/>
              </w:rPr>
              <w:t>128</w:t>
            </w:r>
          </w:p>
        </w:tc>
      </w:tr>
      <w:tr w:rsidRPr="005105C7" w:rsidR="001B4E17" w:rsidTr="00DC73DA" w14:paraId="57CB970E" w14:textId="77777777">
        <w:trPr>
          <w:trHeight w:val="109"/>
        </w:trPr>
        <w:tc>
          <w:tcPr>
            <w:tcW w:w="3624" w:type="dxa"/>
          </w:tcPr>
          <w:p w:rsidRPr="005105C7" w:rsidR="001B4E17" w:rsidP="001B4E17" w:rsidRDefault="001B4E17" w14:paraId="2DA72F8D" w14:textId="77777777">
            <w:pPr>
              <w:autoSpaceDE w:val="0"/>
              <w:autoSpaceDN w:val="0"/>
              <w:adjustRightInd w:val="0"/>
              <w:rPr>
                <w:color w:val="000000"/>
                <w:sz w:val="23"/>
                <w:szCs w:val="23"/>
                <w:lang w:val="en-GB"/>
              </w:rPr>
            </w:pPr>
            <w:r w:rsidRPr="005105C7">
              <w:rPr>
                <w:color w:val="000000"/>
                <w:sz w:val="23"/>
                <w:szCs w:val="23"/>
                <w:lang w:val="en-GB"/>
              </w:rPr>
              <w:t xml:space="preserve">Czech Republic </w:t>
            </w:r>
          </w:p>
        </w:tc>
        <w:tc>
          <w:tcPr>
            <w:tcW w:w="3624" w:type="dxa"/>
          </w:tcPr>
          <w:p w:rsidRPr="005105C7" w:rsidR="001B4E17" w:rsidP="001B4E17" w:rsidRDefault="001B4E17" w14:paraId="01D80885" w14:textId="358825C3">
            <w:pPr>
              <w:autoSpaceDE w:val="0"/>
              <w:autoSpaceDN w:val="0"/>
              <w:adjustRightInd w:val="0"/>
              <w:rPr>
                <w:color w:val="000000"/>
                <w:sz w:val="23"/>
                <w:szCs w:val="23"/>
                <w:lang w:val="en-GB"/>
              </w:rPr>
            </w:pPr>
            <w:r w:rsidRPr="005105C7">
              <w:rPr>
                <w:color w:val="000000"/>
                <w:sz w:val="23"/>
                <w:szCs w:val="23"/>
                <w:lang w:val="en-GB"/>
              </w:rPr>
              <w:t>520</w:t>
            </w:r>
            <w:r w:rsidRPr="005105C7" w:rsidR="00CC4961">
              <w:rPr>
                <w:color w:val="000000"/>
                <w:sz w:val="23"/>
                <w:szCs w:val="23"/>
                <w:lang w:val="en-GB"/>
              </w:rPr>
              <w:t>,</w:t>
            </w:r>
            <w:r w:rsidRPr="005105C7">
              <w:rPr>
                <w:color w:val="000000"/>
                <w:sz w:val="23"/>
                <w:szCs w:val="23"/>
                <w:lang w:val="en-GB"/>
              </w:rPr>
              <w:t>515</w:t>
            </w:r>
            <w:r w:rsidRPr="005105C7" w:rsidR="00CC4961">
              <w:rPr>
                <w:color w:val="000000"/>
                <w:sz w:val="23"/>
                <w:szCs w:val="23"/>
                <w:lang w:val="en-GB"/>
              </w:rPr>
              <w:t>,</w:t>
            </w:r>
            <w:r w:rsidRPr="005105C7">
              <w:rPr>
                <w:color w:val="000000"/>
                <w:sz w:val="23"/>
                <w:szCs w:val="23"/>
                <w:lang w:val="en-GB"/>
              </w:rPr>
              <w:t>203</w:t>
            </w:r>
          </w:p>
        </w:tc>
      </w:tr>
      <w:tr w:rsidRPr="005105C7" w:rsidR="001B4E17" w:rsidTr="00DC73DA" w14:paraId="725470C0" w14:textId="77777777">
        <w:trPr>
          <w:trHeight w:val="109"/>
        </w:trPr>
        <w:tc>
          <w:tcPr>
            <w:tcW w:w="3624" w:type="dxa"/>
          </w:tcPr>
          <w:p w:rsidRPr="005105C7" w:rsidR="001B4E17" w:rsidP="001B4E17" w:rsidRDefault="001B4E17" w14:paraId="386ECB88" w14:textId="77777777">
            <w:pPr>
              <w:autoSpaceDE w:val="0"/>
              <w:autoSpaceDN w:val="0"/>
              <w:adjustRightInd w:val="0"/>
              <w:rPr>
                <w:color w:val="000000"/>
                <w:sz w:val="23"/>
                <w:szCs w:val="23"/>
                <w:lang w:val="en-GB"/>
              </w:rPr>
            </w:pPr>
            <w:r w:rsidRPr="005105C7">
              <w:rPr>
                <w:color w:val="000000"/>
                <w:sz w:val="23"/>
                <w:szCs w:val="23"/>
                <w:lang w:val="en-GB"/>
              </w:rPr>
              <w:t xml:space="preserve">Denmark </w:t>
            </w:r>
          </w:p>
        </w:tc>
        <w:tc>
          <w:tcPr>
            <w:tcW w:w="3624" w:type="dxa"/>
          </w:tcPr>
          <w:p w:rsidRPr="005105C7" w:rsidR="001B4E17" w:rsidP="001B4E17" w:rsidRDefault="001B4E17" w14:paraId="0D82E9EA" w14:textId="7EBD0C27">
            <w:pPr>
              <w:autoSpaceDE w:val="0"/>
              <w:autoSpaceDN w:val="0"/>
              <w:adjustRightInd w:val="0"/>
              <w:rPr>
                <w:color w:val="000000"/>
                <w:sz w:val="23"/>
                <w:szCs w:val="23"/>
                <w:lang w:val="en-GB"/>
              </w:rPr>
            </w:pPr>
            <w:r w:rsidRPr="005105C7">
              <w:rPr>
                <w:color w:val="000000"/>
                <w:sz w:val="23"/>
                <w:szCs w:val="23"/>
                <w:lang w:val="en-GB"/>
              </w:rPr>
              <w:t>269</w:t>
            </w:r>
            <w:r w:rsidRPr="005105C7" w:rsidR="00CC4961">
              <w:rPr>
                <w:color w:val="000000"/>
                <w:sz w:val="23"/>
                <w:szCs w:val="23"/>
                <w:lang w:val="en-GB"/>
              </w:rPr>
              <w:t>,</w:t>
            </w:r>
            <w:r w:rsidRPr="005105C7">
              <w:rPr>
                <w:color w:val="000000"/>
                <w:sz w:val="23"/>
                <w:szCs w:val="23"/>
                <w:lang w:val="en-GB"/>
              </w:rPr>
              <w:t>377</w:t>
            </w:r>
            <w:r w:rsidRPr="005105C7" w:rsidR="00CC4961">
              <w:rPr>
                <w:color w:val="000000"/>
                <w:sz w:val="23"/>
                <w:szCs w:val="23"/>
                <w:lang w:val="en-GB"/>
              </w:rPr>
              <w:t>,</w:t>
            </w:r>
            <w:r w:rsidRPr="005105C7">
              <w:rPr>
                <w:color w:val="000000"/>
                <w:sz w:val="23"/>
                <w:szCs w:val="23"/>
                <w:lang w:val="en-GB"/>
              </w:rPr>
              <w:t>890</w:t>
            </w:r>
          </w:p>
        </w:tc>
      </w:tr>
      <w:tr w:rsidRPr="005105C7" w:rsidR="001B4E17" w:rsidTr="00DC73DA" w14:paraId="055D6E91" w14:textId="77777777">
        <w:trPr>
          <w:trHeight w:val="109"/>
        </w:trPr>
        <w:tc>
          <w:tcPr>
            <w:tcW w:w="3624" w:type="dxa"/>
          </w:tcPr>
          <w:p w:rsidRPr="005105C7" w:rsidR="001B4E17" w:rsidP="001B4E17" w:rsidRDefault="001B4E17" w14:paraId="2C765F2D" w14:textId="77777777">
            <w:pPr>
              <w:autoSpaceDE w:val="0"/>
              <w:autoSpaceDN w:val="0"/>
              <w:adjustRightInd w:val="0"/>
              <w:rPr>
                <w:color w:val="000000"/>
                <w:sz w:val="23"/>
                <w:szCs w:val="23"/>
                <w:lang w:val="en-GB"/>
              </w:rPr>
            </w:pPr>
            <w:r w:rsidRPr="005105C7">
              <w:rPr>
                <w:color w:val="000000"/>
                <w:sz w:val="23"/>
                <w:szCs w:val="23"/>
                <w:lang w:val="en-GB"/>
              </w:rPr>
              <w:t xml:space="preserve">Estonia </w:t>
            </w:r>
          </w:p>
        </w:tc>
        <w:tc>
          <w:tcPr>
            <w:tcW w:w="3624" w:type="dxa"/>
          </w:tcPr>
          <w:p w:rsidRPr="005105C7" w:rsidR="001B4E17" w:rsidP="001B4E17" w:rsidRDefault="001B4E17" w14:paraId="542E0AB4" w14:textId="2F2A243D">
            <w:pPr>
              <w:autoSpaceDE w:val="0"/>
              <w:autoSpaceDN w:val="0"/>
              <w:adjustRightInd w:val="0"/>
              <w:rPr>
                <w:color w:val="000000"/>
                <w:sz w:val="23"/>
                <w:szCs w:val="23"/>
                <w:lang w:val="en-GB"/>
              </w:rPr>
            </w:pPr>
            <w:r w:rsidRPr="005105C7">
              <w:rPr>
                <w:color w:val="000000"/>
                <w:sz w:val="23"/>
                <w:szCs w:val="23"/>
                <w:lang w:val="en-GB"/>
              </w:rPr>
              <w:t>51</w:t>
            </w:r>
            <w:r w:rsidRPr="005105C7" w:rsidR="00CC4961">
              <w:rPr>
                <w:color w:val="000000"/>
                <w:sz w:val="23"/>
                <w:szCs w:val="23"/>
                <w:lang w:val="en-GB"/>
              </w:rPr>
              <w:t>,</w:t>
            </w:r>
            <w:r w:rsidRPr="005105C7">
              <w:rPr>
                <w:color w:val="000000"/>
                <w:sz w:val="23"/>
                <w:szCs w:val="23"/>
                <w:lang w:val="en-GB"/>
              </w:rPr>
              <w:t>056</w:t>
            </w:r>
            <w:r w:rsidRPr="005105C7" w:rsidR="00CC4961">
              <w:rPr>
                <w:color w:val="000000"/>
                <w:sz w:val="23"/>
                <w:szCs w:val="23"/>
                <w:lang w:val="en-GB"/>
              </w:rPr>
              <w:t>,</w:t>
            </w:r>
            <w:r w:rsidRPr="005105C7">
              <w:rPr>
                <w:color w:val="000000"/>
                <w:sz w:val="23"/>
                <w:szCs w:val="23"/>
                <w:lang w:val="en-GB"/>
              </w:rPr>
              <w:t>976</w:t>
            </w:r>
          </w:p>
        </w:tc>
      </w:tr>
      <w:tr w:rsidRPr="005105C7" w:rsidR="001B4E17" w:rsidTr="00DC73DA" w14:paraId="32AFBBB5" w14:textId="77777777">
        <w:trPr>
          <w:trHeight w:val="109"/>
        </w:trPr>
        <w:tc>
          <w:tcPr>
            <w:tcW w:w="3624" w:type="dxa"/>
          </w:tcPr>
          <w:p w:rsidRPr="005105C7" w:rsidR="001B4E17" w:rsidP="001B4E17" w:rsidRDefault="001B4E17" w14:paraId="6C67559D" w14:textId="77777777">
            <w:pPr>
              <w:autoSpaceDE w:val="0"/>
              <w:autoSpaceDN w:val="0"/>
              <w:adjustRightInd w:val="0"/>
              <w:rPr>
                <w:color w:val="000000"/>
                <w:sz w:val="23"/>
                <w:szCs w:val="23"/>
                <w:lang w:val="en-GB"/>
              </w:rPr>
            </w:pPr>
            <w:r w:rsidRPr="005105C7">
              <w:rPr>
                <w:color w:val="000000"/>
                <w:sz w:val="23"/>
                <w:szCs w:val="23"/>
                <w:lang w:val="en-GB"/>
              </w:rPr>
              <w:t xml:space="preserve">Finland </w:t>
            </w:r>
          </w:p>
        </w:tc>
        <w:tc>
          <w:tcPr>
            <w:tcW w:w="3624" w:type="dxa"/>
          </w:tcPr>
          <w:p w:rsidRPr="005105C7" w:rsidR="001B4E17" w:rsidP="001B4E17" w:rsidRDefault="001B4E17" w14:paraId="534C56EE" w14:textId="40FC6E8E">
            <w:pPr>
              <w:autoSpaceDE w:val="0"/>
              <w:autoSpaceDN w:val="0"/>
              <w:adjustRightInd w:val="0"/>
              <w:rPr>
                <w:color w:val="000000"/>
                <w:sz w:val="23"/>
                <w:szCs w:val="23"/>
                <w:lang w:val="en-GB"/>
              </w:rPr>
            </w:pPr>
            <w:r w:rsidRPr="005105C7">
              <w:rPr>
                <w:color w:val="000000"/>
                <w:sz w:val="23"/>
                <w:szCs w:val="23"/>
                <w:lang w:val="en-GB"/>
              </w:rPr>
              <w:t>240</w:t>
            </w:r>
            <w:r w:rsidRPr="005105C7" w:rsidR="00CC4961">
              <w:rPr>
                <w:color w:val="000000"/>
                <w:sz w:val="23"/>
                <w:szCs w:val="23"/>
                <w:lang w:val="en-GB"/>
              </w:rPr>
              <w:t>,</w:t>
            </w:r>
            <w:r w:rsidRPr="005105C7">
              <w:rPr>
                <w:color w:val="000000"/>
                <w:sz w:val="23"/>
                <w:szCs w:val="23"/>
                <w:lang w:val="en-GB"/>
              </w:rPr>
              <w:t>544</w:t>
            </w:r>
            <w:r w:rsidRPr="005105C7" w:rsidR="00CC4961">
              <w:rPr>
                <w:color w:val="000000"/>
                <w:sz w:val="23"/>
                <w:szCs w:val="23"/>
                <w:lang w:val="en-GB"/>
              </w:rPr>
              <w:t>,</w:t>
            </w:r>
            <w:r w:rsidRPr="005105C7">
              <w:rPr>
                <w:color w:val="000000"/>
                <w:sz w:val="23"/>
                <w:szCs w:val="23"/>
                <w:lang w:val="en-GB"/>
              </w:rPr>
              <w:t>599</w:t>
            </w:r>
          </w:p>
        </w:tc>
      </w:tr>
      <w:tr w:rsidRPr="005105C7" w:rsidR="001B4E17" w:rsidTr="00DC73DA" w14:paraId="42A39D43" w14:textId="77777777">
        <w:trPr>
          <w:trHeight w:val="109"/>
        </w:trPr>
        <w:tc>
          <w:tcPr>
            <w:tcW w:w="3624" w:type="dxa"/>
          </w:tcPr>
          <w:p w:rsidRPr="005105C7" w:rsidR="001B4E17" w:rsidP="001B4E17" w:rsidRDefault="001B4E17" w14:paraId="1AC0E107" w14:textId="77777777">
            <w:pPr>
              <w:autoSpaceDE w:val="0"/>
              <w:autoSpaceDN w:val="0"/>
              <w:adjustRightInd w:val="0"/>
              <w:rPr>
                <w:color w:val="000000"/>
                <w:sz w:val="23"/>
                <w:szCs w:val="23"/>
                <w:lang w:val="en-GB"/>
              </w:rPr>
            </w:pPr>
            <w:r w:rsidRPr="005105C7">
              <w:rPr>
                <w:color w:val="000000"/>
                <w:sz w:val="23"/>
                <w:szCs w:val="23"/>
                <w:lang w:val="en-GB"/>
              </w:rPr>
              <w:t xml:space="preserve">France </w:t>
            </w:r>
          </w:p>
        </w:tc>
        <w:tc>
          <w:tcPr>
            <w:tcW w:w="3624" w:type="dxa"/>
          </w:tcPr>
          <w:p w:rsidRPr="005105C7" w:rsidR="001B4E17" w:rsidP="001B4E17" w:rsidRDefault="001B4E17" w14:paraId="74858DF3" w14:textId="2161D386">
            <w:pPr>
              <w:autoSpaceDE w:val="0"/>
              <w:autoSpaceDN w:val="0"/>
              <w:adjustRightInd w:val="0"/>
              <w:rPr>
                <w:color w:val="000000"/>
                <w:sz w:val="23"/>
                <w:szCs w:val="23"/>
                <w:lang w:val="en-GB"/>
              </w:rPr>
            </w:pPr>
            <w:r w:rsidRPr="005105C7">
              <w:rPr>
                <w:color w:val="000000"/>
                <w:sz w:val="23"/>
                <w:szCs w:val="23"/>
                <w:lang w:val="en-GB"/>
              </w:rPr>
              <w:t>3</w:t>
            </w:r>
            <w:r w:rsidRPr="005105C7" w:rsidR="00CC4961">
              <w:rPr>
                <w:color w:val="000000"/>
                <w:sz w:val="23"/>
                <w:szCs w:val="23"/>
                <w:lang w:val="en-GB"/>
              </w:rPr>
              <w:t>,</w:t>
            </w:r>
            <w:r w:rsidRPr="005105C7">
              <w:rPr>
                <w:color w:val="000000"/>
                <w:sz w:val="23"/>
                <w:szCs w:val="23"/>
                <w:lang w:val="en-GB"/>
              </w:rPr>
              <w:t>014</w:t>
            </w:r>
            <w:r w:rsidRPr="005105C7" w:rsidR="00CC4961">
              <w:rPr>
                <w:color w:val="000000"/>
                <w:sz w:val="23"/>
                <w:szCs w:val="23"/>
                <w:lang w:val="en-GB"/>
              </w:rPr>
              <w:t>,</w:t>
            </w:r>
            <w:r w:rsidRPr="005105C7">
              <w:rPr>
                <w:color w:val="000000"/>
                <w:sz w:val="23"/>
                <w:szCs w:val="23"/>
                <w:lang w:val="en-GB"/>
              </w:rPr>
              <w:t>714</w:t>
            </w:r>
            <w:r w:rsidRPr="005105C7" w:rsidR="00CC4961">
              <w:rPr>
                <w:color w:val="000000"/>
                <w:sz w:val="23"/>
                <w:szCs w:val="23"/>
                <w:lang w:val="en-GB"/>
              </w:rPr>
              <w:t>,</w:t>
            </w:r>
            <w:r w:rsidRPr="005105C7">
              <w:rPr>
                <w:color w:val="000000"/>
                <w:sz w:val="23"/>
                <w:szCs w:val="23"/>
                <w:lang w:val="en-GB"/>
              </w:rPr>
              <w:t>832</w:t>
            </w:r>
          </w:p>
        </w:tc>
      </w:tr>
      <w:tr w:rsidRPr="005105C7" w:rsidR="001B4E17" w:rsidTr="00DC73DA" w14:paraId="6BBA842C" w14:textId="77777777">
        <w:trPr>
          <w:trHeight w:val="109"/>
        </w:trPr>
        <w:tc>
          <w:tcPr>
            <w:tcW w:w="3624" w:type="dxa"/>
          </w:tcPr>
          <w:p w:rsidRPr="005105C7" w:rsidR="001B4E17" w:rsidP="001B4E17" w:rsidRDefault="001B4E17" w14:paraId="19D4E218" w14:textId="77777777">
            <w:pPr>
              <w:autoSpaceDE w:val="0"/>
              <w:autoSpaceDN w:val="0"/>
              <w:adjustRightInd w:val="0"/>
              <w:rPr>
                <w:color w:val="000000"/>
                <w:sz w:val="23"/>
                <w:szCs w:val="23"/>
                <w:lang w:val="en-GB"/>
              </w:rPr>
            </w:pPr>
            <w:r w:rsidRPr="005105C7">
              <w:rPr>
                <w:color w:val="000000"/>
                <w:sz w:val="23"/>
                <w:szCs w:val="23"/>
                <w:lang w:val="en-GB"/>
              </w:rPr>
              <w:t xml:space="preserve">Germany </w:t>
            </w:r>
          </w:p>
        </w:tc>
        <w:tc>
          <w:tcPr>
            <w:tcW w:w="3624" w:type="dxa"/>
          </w:tcPr>
          <w:p w:rsidRPr="005105C7" w:rsidR="001B4E17" w:rsidP="001B4E17" w:rsidRDefault="001B4E17" w14:paraId="16F26287" w14:textId="265837CF">
            <w:pPr>
              <w:autoSpaceDE w:val="0"/>
              <w:autoSpaceDN w:val="0"/>
              <w:adjustRightInd w:val="0"/>
              <w:rPr>
                <w:color w:val="000000"/>
                <w:sz w:val="23"/>
                <w:szCs w:val="23"/>
                <w:lang w:val="en-GB"/>
              </w:rPr>
            </w:pPr>
            <w:r w:rsidRPr="005105C7">
              <w:rPr>
                <w:color w:val="000000"/>
                <w:sz w:val="23"/>
                <w:szCs w:val="23"/>
                <w:lang w:val="en-GB"/>
              </w:rPr>
              <w:t>3</w:t>
            </w:r>
            <w:r w:rsidRPr="005105C7" w:rsidR="00CC4961">
              <w:rPr>
                <w:color w:val="000000"/>
                <w:sz w:val="23"/>
                <w:szCs w:val="23"/>
                <w:lang w:val="en-GB"/>
              </w:rPr>
              <w:t>,</w:t>
            </w:r>
            <w:r w:rsidRPr="005105C7">
              <w:rPr>
                <w:color w:val="000000"/>
                <w:sz w:val="23"/>
                <w:szCs w:val="23"/>
                <w:lang w:val="en-GB"/>
              </w:rPr>
              <w:t>592</w:t>
            </w:r>
            <w:r w:rsidRPr="005105C7" w:rsidR="00CC4961">
              <w:rPr>
                <w:color w:val="000000"/>
                <w:sz w:val="23"/>
                <w:szCs w:val="23"/>
                <w:lang w:val="en-GB"/>
              </w:rPr>
              <w:t>,</w:t>
            </w:r>
            <w:r w:rsidRPr="005105C7">
              <w:rPr>
                <w:color w:val="000000"/>
                <w:sz w:val="23"/>
                <w:szCs w:val="23"/>
                <w:lang w:val="en-GB"/>
              </w:rPr>
              <w:t>699</w:t>
            </w:r>
            <w:r w:rsidRPr="005105C7" w:rsidR="00CC4961">
              <w:rPr>
                <w:color w:val="000000"/>
                <w:sz w:val="23"/>
                <w:szCs w:val="23"/>
                <w:lang w:val="en-GB"/>
              </w:rPr>
              <w:t>,</w:t>
            </w:r>
            <w:r w:rsidRPr="005105C7">
              <w:rPr>
                <w:color w:val="000000"/>
                <w:sz w:val="23"/>
                <w:szCs w:val="23"/>
                <w:lang w:val="en-GB"/>
              </w:rPr>
              <w:t>888</w:t>
            </w:r>
          </w:p>
        </w:tc>
      </w:tr>
      <w:tr w:rsidRPr="005105C7" w:rsidR="001B4E17" w:rsidTr="00DC73DA" w14:paraId="2DCEA284" w14:textId="77777777">
        <w:trPr>
          <w:trHeight w:val="109"/>
        </w:trPr>
        <w:tc>
          <w:tcPr>
            <w:tcW w:w="3624" w:type="dxa"/>
          </w:tcPr>
          <w:p w:rsidRPr="005105C7" w:rsidR="001B4E17" w:rsidP="001B4E17" w:rsidRDefault="001B4E17" w14:paraId="6D6D6F7D" w14:textId="77777777">
            <w:pPr>
              <w:autoSpaceDE w:val="0"/>
              <w:autoSpaceDN w:val="0"/>
              <w:adjustRightInd w:val="0"/>
              <w:rPr>
                <w:color w:val="000000"/>
                <w:sz w:val="23"/>
                <w:szCs w:val="23"/>
                <w:lang w:val="en-GB"/>
              </w:rPr>
            </w:pPr>
            <w:r w:rsidRPr="005105C7">
              <w:rPr>
                <w:color w:val="000000"/>
                <w:sz w:val="23"/>
                <w:szCs w:val="23"/>
                <w:lang w:val="en-GB"/>
              </w:rPr>
              <w:t xml:space="preserve">Greece </w:t>
            </w:r>
          </w:p>
        </w:tc>
        <w:tc>
          <w:tcPr>
            <w:tcW w:w="3624" w:type="dxa"/>
          </w:tcPr>
          <w:p w:rsidRPr="005105C7" w:rsidR="001B4E17" w:rsidP="001B4E17" w:rsidRDefault="001B4E17" w14:paraId="1A5AF0A5" w14:textId="7673AF6B">
            <w:pPr>
              <w:autoSpaceDE w:val="0"/>
              <w:autoSpaceDN w:val="0"/>
              <w:adjustRightInd w:val="0"/>
              <w:rPr>
                <w:color w:val="000000"/>
                <w:sz w:val="23"/>
                <w:szCs w:val="23"/>
                <w:lang w:val="en-GB"/>
              </w:rPr>
            </w:pPr>
            <w:r w:rsidRPr="005105C7">
              <w:rPr>
                <w:color w:val="000000"/>
                <w:sz w:val="23"/>
                <w:szCs w:val="23"/>
                <w:lang w:val="en-GB"/>
              </w:rPr>
              <w:t>480</w:t>
            </w:r>
            <w:r w:rsidRPr="005105C7" w:rsidR="00CC4961">
              <w:rPr>
                <w:color w:val="000000"/>
                <w:sz w:val="23"/>
                <w:szCs w:val="23"/>
                <w:lang w:val="en-GB"/>
              </w:rPr>
              <w:t>,</w:t>
            </w:r>
            <w:r w:rsidRPr="005105C7">
              <w:rPr>
                <w:color w:val="000000"/>
                <w:sz w:val="23"/>
                <w:szCs w:val="23"/>
                <w:lang w:val="en-GB"/>
              </w:rPr>
              <w:t>791</w:t>
            </w:r>
            <w:r w:rsidRPr="005105C7" w:rsidR="00CC4961">
              <w:rPr>
                <w:color w:val="000000"/>
                <w:sz w:val="23"/>
                <w:szCs w:val="23"/>
                <w:lang w:val="en-GB"/>
              </w:rPr>
              <w:t>,</w:t>
            </w:r>
            <w:r w:rsidRPr="005105C7">
              <w:rPr>
                <w:color w:val="000000"/>
                <w:sz w:val="23"/>
                <w:szCs w:val="23"/>
                <w:lang w:val="en-GB"/>
              </w:rPr>
              <w:t xml:space="preserve">166 </w:t>
            </w:r>
          </w:p>
        </w:tc>
      </w:tr>
      <w:tr w:rsidRPr="005105C7" w:rsidR="001B4E17" w:rsidTr="00DC73DA" w14:paraId="49A8348E" w14:textId="77777777">
        <w:trPr>
          <w:trHeight w:val="109"/>
        </w:trPr>
        <w:tc>
          <w:tcPr>
            <w:tcW w:w="3624" w:type="dxa"/>
          </w:tcPr>
          <w:p w:rsidRPr="005105C7" w:rsidR="001B4E17" w:rsidP="001B4E17" w:rsidRDefault="001B4E17" w14:paraId="6B3D5ABF" w14:textId="77777777">
            <w:pPr>
              <w:autoSpaceDE w:val="0"/>
              <w:autoSpaceDN w:val="0"/>
              <w:adjustRightInd w:val="0"/>
              <w:rPr>
                <w:color w:val="000000"/>
                <w:sz w:val="23"/>
                <w:szCs w:val="23"/>
                <w:lang w:val="en-GB"/>
              </w:rPr>
            </w:pPr>
            <w:r w:rsidRPr="005105C7">
              <w:rPr>
                <w:color w:val="000000"/>
                <w:sz w:val="23"/>
                <w:szCs w:val="23"/>
                <w:lang w:val="en-GB"/>
              </w:rPr>
              <w:t xml:space="preserve">Hungary </w:t>
            </w:r>
          </w:p>
        </w:tc>
        <w:tc>
          <w:tcPr>
            <w:tcW w:w="3624" w:type="dxa"/>
          </w:tcPr>
          <w:p w:rsidRPr="005105C7" w:rsidR="001B4E17" w:rsidP="001B4E17" w:rsidRDefault="001B4E17" w14:paraId="2BCF4574" w14:textId="0B182ED6">
            <w:pPr>
              <w:autoSpaceDE w:val="0"/>
              <w:autoSpaceDN w:val="0"/>
              <w:adjustRightInd w:val="0"/>
              <w:rPr>
                <w:color w:val="000000"/>
                <w:sz w:val="23"/>
                <w:szCs w:val="23"/>
                <w:lang w:val="en-GB"/>
              </w:rPr>
            </w:pPr>
            <w:r w:rsidRPr="005105C7">
              <w:rPr>
                <w:color w:val="000000"/>
                <w:sz w:val="23"/>
                <w:szCs w:val="23"/>
                <w:lang w:val="en-GB"/>
              </w:rPr>
              <w:t>434</w:t>
            </w:r>
            <w:r w:rsidRPr="005105C7" w:rsidR="00CC4961">
              <w:rPr>
                <w:color w:val="000000"/>
                <w:sz w:val="23"/>
                <w:szCs w:val="23"/>
                <w:lang w:val="en-GB"/>
              </w:rPr>
              <w:t>,</w:t>
            </w:r>
            <w:r w:rsidRPr="005105C7">
              <w:rPr>
                <w:color w:val="000000"/>
                <w:sz w:val="23"/>
                <w:szCs w:val="23"/>
                <w:lang w:val="en-GB"/>
              </w:rPr>
              <w:t>486</w:t>
            </w:r>
            <w:r w:rsidRPr="005105C7" w:rsidR="00CC4961">
              <w:rPr>
                <w:color w:val="000000"/>
                <w:sz w:val="23"/>
                <w:szCs w:val="23"/>
                <w:lang w:val="en-GB"/>
              </w:rPr>
              <w:t>,</w:t>
            </w:r>
            <w:r w:rsidRPr="005105C7">
              <w:rPr>
                <w:color w:val="000000"/>
                <w:sz w:val="23"/>
                <w:szCs w:val="23"/>
                <w:lang w:val="en-GB"/>
              </w:rPr>
              <w:t xml:space="preserve">280 </w:t>
            </w:r>
          </w:p>
        </w:tc>
      </w:tr>
      <w:tr w:rsidRPr="005105C7" w:rsidR="001B4E17" w:rsidTr="00DC73DA" w14:paraId="464DB267" w14:textId="77777777">
        <w:trPr>
          <w:trHeight w:val="109"/>
        </w:trPr>
        <w:tc>
          <w:tcPr>
            <w:tcW w:w="3624" w:type="dxa"/>
          </w:tcPr>
          <w:p w:rsidRPr="005105C7" w:rsidR="001B4E17" w:rsidP="001B4E17" w:rsidRDefault="001B4E17" w14:paraId="54F4F504" w14:textId="77777777">
            <w:pPr>
              <w:autoSpaceDE w:val="0"/>
              <w:autoSpaceDN w:val="0"/>
              <w:adjustRightInd w:val="0"/>
              <w:rPr>
                <w:color w:val="000000"/>
                <w:sz w:val="23"/>
                <w:szCs w:val="23"/>
                <w:lang w:val="en-GB"/>
              </w:rPr>
            </w:pPr>
            <w:r w:rsidRPr="005105C7">
              <w:rPr>
                <w:color w:val="000000"/>
                <w:sz w:val="23"/>
                <w:szCs w:val="23"/>
                <w:lang w:val="en-GB"/>
              </w:rPr>
              <w:t xml:space="preserve">Ireland </w:t>
            </w:r>
          </w:p>
        </w:tc>
        <w:tc>
          <w:tcPr>
            <w:tcW w:w="3624" w:type="dxa"/>
          </w:tcPr>
          <w:p w:rsidRPr="005105C7" w:rsidR="001B4E17" w:rsidP="001B4E17" w:rsidRDefault="001B4E17" w14:paraId="54687497" w14:textId="7E360B7D">
            <w:pPr>
              <w:autoSpaceDE w:val="0"/>
              <w:autoSpaceDN w:val="0"/>
              <w:adjustRightInd w:val="0"/>
              <w:rPr>
                <w:color w:val="000000"/>
                <w:sz w:val="23"/>
                <w:szCs w:val="23"/>
                <w:lang w:val="en-GB"/>
              </w:rPr>
            </w:pPr>
            <w:r w:rsidRPr="005105C7">
              <w:rPr>
                <w:color w:val="000000"/>
                <w:sz w:val="23"/>
                <w:szCs w:val="23"/>
                <w:lang w:val="en-GB"/>
              </w:rPr>
              <w:t>343</w:t>
            </w:r>
            <w:r w:rsidRPr="005105C7" w:rsidR="00CC4961">
              <w:rPr>
                <w:color w:val="000000"/>
                <w:sz w:val="23"/>
                <w:szCs w:val="23"/>
                <w:lang w:val="en-GB"/>
              </w:rPr>
              <w:t>,</w:t>
            </w:r>
            <w:r w:rsidRPr="005105C7">
              <w:rPr>
                <w:color w:val="000000"/>
                <w:sz w:val="23"/>
                <w:szCs w:val="23"/>
                <w:lang w:val="en-GB"/>
              </w:rPr>
              <w:t>519</w:t>
            </w:r>
            <w:r w:rsidRPr="005105C7" w:rsidR="00CC4961">
              <w:rPr>
                <w:color w:val="000000"/>
                <w:sz w:val="23"/>
                <w:szCs w:val="23"/>
                <w:lang w:val="en-GB"/>
              </w:rPr>
              <w:t>,</w:t>
            </w:r>
            <w:r w:rsidRPr="005105C7">
              <w:rPr>
                <w:color w:val="000000"/>
                <w:sz w:val="23"/>
                <w:szCs w:val="23"/>
                <w:lang w:val="en-GB"/>
              </w:rPr>
              <w:t xml:space="preserve">892 </w:t>
            </w:r>
          </w:p>
        </w:tc>
      </w:tr>
      <w:tr w:rsidRPr="005105C7" w:rsidR="001B4E17" w:rsidTr="00DC73DA" w14:paraId="61C8CA67" w14:textId="77777777">
        <w:trPr>
          <w:trHeight w:val="109"/>
        </w:trPr>
        <w:tc>
          <w:tcPr>
            <w:tcW w:w="3624" w:type="dxa"/>
          </w:tcPr>
          <w:p w:rsidRPr="005105C7" w:rsidR="001B4E17" w:rsidP="001B4E17" w:rsidRDefault="001B4E17" w14:paraId="2DC1E253" w14:textId="77777777">
            <w:pPr>
              <w:autoSpaceDE w:val="0"/>
              <w:autoSpaceDN w:val="0"/>
              <w:adjustRightInd w:val="0"/>
              <w:rPr>
                <w:color w:val="000000"/>
                <w:sz w:val="23"/>
                <w:szCs w:val="23"/>
                <w:lang w:val="en-GB"/>
              </w:rPr>
            </w:pPr>
            <w:r w:rsidRPr="005105C7">
              <w:rPr>
                <w:color w:val="000000"/>
                <w:sz w:val="23"/>
                <w:szCs w:val="23"/>
                <w:lang w:val="en-GB"/>
              </w:rPr>
              <w:t xml:space="preserve">Italy </w:t>
            </w:r>
          </w:p>
        </w:tc>
        <w:tc>
          <w:tcPr>
            <w:tcW w:w="3624" w:type="dxa"/>
          </w:tcPr>
          <w:p w:rsidRPr="005105C7" w:rsidR="001B4E17" w:rsidP="001B4E17" w:rsidRDefault="001B4E17" w14:paraId="021459E1" w14:textId="5AEC62AA">
            <w:pPr>
              <w:autoSpaceDE w:val="0"/>
              <w:autoSpaceDN w:val="0"/>
              <w:adjustRightInd w:val="0"/>
              <w:rPr>
                <w:color w:val="000000"/>
                <w:sz w:val="23"/>
                <w:szCs w:val="23"/>
                <w:lang w:val="en-GB"/>
              </w:rPr>
            </w:pPr>
            <w:r w:rsidRPr="005105C7">
              <w:rPr>
                <w:color w:val="000000"/>
                <w:sz w:val="23"/>
                <w:szCs w:val="23"/>
                <w:lang w:val="en-GB"/>
              </w:rPr>
              <w:t>2</w:t>
            </w:r>
            <w:r w:rsidRPr="005105C7" w:rsidR="00CC4961">
              <w:rPr>
                <w:color w:val="000000"/>
                <w:sz w:val="23"/>
                <w:szCs w:val="23"/>
                <w:lang w:val="en-GB"/>
              </w:rPr>
              <w:t>,</w:t>
            </w:r>
            <w:r w:rsidRPr="005105C7">
              <w:rPr>
                <w:color w:val="000000"/>
                <w:sz w:val="23"/>
                <w:szCs w:val="23"/>
                <w:lang w:val="en-GB"/>
              </w:rPr>
              <w:t>410</w:t>
            </w:r>
            <w:r w:rsidRPr="005105C7" w:rsidR="00CC4961">
              <w:rPr>
                <w:color w:val="000000"/>
                <w:sz w:val="23"/>
                <w:szCs w:val="23"/>
                <w:lang w:val="en-GB"/>
              </w:rPr>
              <w:t>,</w:t>
            </w:r>
            <w:r w:rsidRPr="005105C7">
              <w:rPr>
                <w:color w:val="000000"/>
                <w:sz w:val="23"/>
                <w:szCs w:val="23"/>
                <w:lang w:val="en-GB"/>
              </w:rPr>
              <w:t>291</w:t>
            </w:r>
            <w:r w:rsidRPr="005105C7" w:rsidR="00CC4961">
              <w:rPr>
                <w:color w:val="000000"/>
                <w:sz w:val="23"/>
                <w:szCs w:val="23"/>
                <w:lang w:val="en-GB"/>
              </w:rPr>
              <w:t>,</w:t>
            </w:r>
            <w:r w:rsidRPr="005105C7">
              <w:rPr>
                <w:color w:val="000000"/>
                <w:sz w:val="23"/>
                <w:szCs w:val="23"/>
                <w:lang w:val="en-GB"/>
              </w:rPr>
              <w:t xml:space="preserve">421 </w:t>
            </w:r>
          </w:p>
        </w:tc>
      </w:tr>
      <w:tr w:rsidRPr="005105C7" w:rsidR="001B4E17" w:rsidTr="00DC73DA" w14:paraId="5A96088C" w14:textId="77777777">
        <w:trPr>
          <w:trHeight w:val="109"/>
        </w:trPr>
        <w:tc>
          <w:tcPr>
            <w:tcW w:w="3624" w:type="dxa"/>
          </w:tcPr>
          <w:p w:rsidRPr="005105C7" w:rsidR="001B4E17" w:rsidP="001B4E17" w:rsidRDefault="001B4E17" w14:paraId="6F09BE10" w14:textId="77777777">
            <w:pPr>
              <w:autoSpaceDE w:val="0"/>
              <w:autoSpaceDN w:val="0"/>
              <w:adjustRightInd w:val="0"/>
              <w:rPr>
                <w:color w:val="000000"/>
                <w:sz w:val="23"/>
                <w:szCs w:val="23"/>
                <w:lang w:val="en-GB"/>
              </w:rPr>
            </w:pPr>
            <w:r w:rsidRPr="005105C7">
              <w:rPr>
                <w:color w:val="000000"/>
                <w:sz w:val="23"/>
                <w:szCs w:val="23"/>
                <w:lang w:val="en-GB"/>
              </w:rPr>
              <w:t xml:space="preserve">Latvia </w:t>
            </w:r>
          </w:p>
        </w:tc>
        <w:tc>
          <w:tcPr>
            <w:tcW w:w="3624" w:type="dxa"/>
          </w:tcPr>
          <w:p w:rsidRPr="005105C7" w:rsidR="001B4E17" w:rsidP="001B4E17" w:rsidRDefault="001B4E17" w14:paraId="63CD6B30" w14:textId="71FD8E84">
            <w:pPr>
              <w:autoSpaceDE w:val="0"/>
              <w:autoSpaceDN w:val="0"/>
              <w:adjustRightInd w:val="0"/>
              <w:rPr>
                <w:color w:val="000000"/>
                <w:sz w:val="23"/>
                <w:szCs w:val="23"/>
                <w:lang w:val="en-GB"/>
              </w:rPr>
            </w:pPr>
            <w:r w:rsidRPr="005105C7">
              <w:rPr>
                <w:color w:val="000000"/>
                <w:sz w:val="23"/>
                <w:szCs w:val="23"/>
                <w:lang w:val="en-GB"/>
              </w:rPr>
              <w:t>76</w:t>
            </w:r>
            <w:r w:rsidRPr="005105C7" w:rsidR="00CC4961">
              <w:rPr>
                <w:color w:val="000000"/>
                <w:sz w:val="23"/>
                <w:szCs w:val="23"/>
                <w:lang w:val="en-GB"/>
              </w:rPr>
              <w:t>,</w:t>
            </w:r>
            <w:r w:rsidRPr="005105C7">
              <w:rPr>
                <w:color w:val="000000"/>
                <w:sz w:val="23"/>
                <w:szCs w:val="23"/>
                <w:lang w:val="en-GB"/>
              </w:rPr>
              <w:t>633</w:t>
            </w:r>
            <w:r w:rsidRPr="005105C7" w:rsidR="00CC4961">
              <w:rPr>
                <w:color w:val="000000"/>
                <w:sz w:val="23"/>
                <w:szCs w:val="23"/>
                <w:lang w:val="en-GB"/>
              </w:rPr>
              <w:t>,</w:t>
            </w:r>
            <w:r w:rsidRPr="005105C7">
              <w:rPr>
                <w:color w:val="000000"/>
                <w:sz w:val="23"/>
                <w:szCs w:val="23"/>
                <w:lang w:val="en-GB"/>
              </w:rPr>
              <w:t xml:space="preserve">439 </w:t>
            </w:r>
          </w:p>
        </w:tc>
      </w:tr>
      <w:tr w:rsidRPr="005105C7" w:rsidR="001B4E17" w:rsidTr="00DC73DA" w14:paraId="5B15D8E7" w14:textId="77777777">
        <w:trPr>
          <w:trHeight w:val="109"/>
        </w:trPr>
        <w:tc>
          <w:tcPr>
            <w:tcW w:w="3624" w:type="dxa"/>
          </w:tcPr>
          <w:p w:rsidRPr="005105C7" w:rsidR="001B4E17" w:rsidP="001B4E17" w:rsidRDefault="001B4E17" w14:paraId="48D2C338" w14:textId="77777777">
            <w:pPr>
              <w:autoSpaceDE w:val="0"/>
              <w:autoSpaceDN w:val="0"/>
              <w:adjustRightInd w:val="0"/>
              <w:rPr>
                <w:color w:val="000000"/>
                <w:sz w:val="23"/>
                <w:szCs w:val="23"/>
                <w:lang w:val="en-GB"/>
              </w:rPr>
            </w:pPr>
            <w:r w:rsidRPr="005105C7">
              <w:rPr>
                <w:color w:val="000000"/>
                <w:sz w:val="23"/>
                <w:szCs w:val="23"/>
                <w:lang w:val="en-GB"/>
              </w:rPr>
              <w:t xml:space="preserve">Lithuania </w:t>
            </w:r>
          </w:p>
        </w:tc>
        <w:tc>
          <w:tcPr>
            <w:tcW w:w="3624" w:type="dxa"/>
          </w:tcPr>
          <w:p w:rsidRPr="005105C7" w:rsidR="001B4E17" w:rsidP="001B4E17" w:rsidRDefault="001B4E17" w14:paraId="58980572" w14:textId="0FEB6B98">
            <w:pPr>
              <w:autoSpaceDE w:val="0"/>
              <w:autoSpaceDN w:val="0"/>
              <w:adjustRightInd w:val="0"/>
              <w:rPr>
                <w:color w:val="000000"/>
                <w:sz w:val="23"/>
                <w:szCs w:val="23"/>
                <w:lang w:val="en-GB"/>
              </w:rPr>
            </w:pPr>
            <w:r w:rsidRPr="005105C7">
              <w:rPr>
                <w:color w:val="000000"/>
                <w:sz w:val="23"/>
                <w:szCs w:val="23"/>
                <w:lang w:val="en-GB"/>
              </w:rPr>
              <w:t>113</w:t>
            </w:r>
            <w:r w:rsidRPr="005105C7" w:rsidR="00CC4961">
              <w:rPr>
                <w:color w:val="000000"/>
                <w:sz w:val="23"/>
                <w:szCs w:val="23"/>
                <w:lang w:val="en-GB"/>
              </w:rPr>
              <w:t>,</w:t>
            </w:r>
            <w:r w:rsidRPr="005105C7">
              <w:rPr>
                <w:color w:val="000000"/>
                <w:sz w:val="23"/>
                <w:szCs w:val="23"/>
                <w:lang w:val="en-GB"/>
              </w:rPr>
              <w:t>600</w:t>
            </w:r>
            <w:r w:rsidRPr="005105C7" w:rsidR="00CC4961">
              <w:rPr>
                <w:color w:val="000000"/>
                <w:sz w:val="23"/>
                <w:szCs w:val="23"/>
                <w:lang w:val="en-GB"/>
              </w:rPr>
              <w:t>,</w:t>
            </w:r>
            <w:r w:rsidRPr="005105C7">
              <w:rPr>
                <w:color w:val="000000"/>
                <w:sz w:val="23"/>
                <w:szCs w:val="23"/>
                <w:lang w:val="en-GB"/>
              </w:rPr>
              <w:t xml:space="preserve">821 </w:t>
            </w:r>
          </w:p>
        </w:tc>
      </w:tr>
      <w:tr w:rsidRPr="005105C7" w:rsidR="001B4E17" w:rsidTr="00DC73DA" w14:paraId="5A72D7BA" w14:textId="77777777">
        <w:trPr>
          <w:trHeight w:val="109"/>
        </w:trPr>
        <w:tc>
          <w:tcPr>
            <w:tcW w:w="3624" w:type="dxa"/>
          </w:tcPr>
          <w:p w:rsidRPr="005105C7" w:rsidR="001B4E17" w:rsidP="001B4E17" w:rsidRDefault="001B4E17" w14:paraId="702F04BC" w14:textId="77777777">
            <w:pPr>
              <w:autoSpaceDE w:val="0"/>
              <w:autoSpaceDN w:val="0"/>
              <w:adjustRightInd w:val="0"/>
              <w:rPr>
                <w:color w:val="000000"/>
                <w:sz w:val="23"/>
                <w:szCs w:val="23"/>
                <w:lang w:val="en-GB"/>
              </w:rPr>
            </w:pPr>
            <w:r w:rsidRPr="005105C7">
              <w:rPr>
                <w:color w:val="000000"/>
                <w:sz w:val="23"/>
                <w:szCs w:val="23"/>
                <w:lang w:val="en-GB"/>
              </w:rPr>
              <w:t xml:space="preserve">Luxembourg </w:t>
            </w:r>
          </w:p>
        </w:tc>
        <w:tc>
          <w:tcPr>
            <w:tcW w:w="3624" w:type="dxa"/>
          </w:tcPr>
          <w:p w:rsidRPr="005105C7" w:rsidR="001B4E17" w:rsidP="001B4E17" w:rsidRDefault="001B4E17" w14:paraId="56D592F0" w14:textId="271AB48F">
            <w:pPr>
              <w:autoSpaceDE w:val="0"/>
              <w:autoSpaceDN w:val="0"/>
              <w:adjustRightInd w:val="0"/>
              <w:rPr>
                <w:color w:val="000000"/>
                <w:sz w:val="23"/>
                <w:szCs w:val="23"/>
                <w:lang w:val="en-GB"/>
              </w:rPr>
            </w:pPr>
            <w:r w:rsidRPr="005105C7">
              <w:rPr>
                <w:color w:val="000000"/>
                <w:sz w:val="23"/>
                <w:szCs w:val="23"/>
                <w:lang w:val="en-GB"/>
              </w:rPr>
              <w:t>72</w:t>
            </w:r>
            <w:r w:rsidRPr="005105C7" w:rsidR="00CC4961">
              <w:rPr>
                <w:color w:val="000000"/>
                <w:sz w:val="23"/>
                <w:szCs w:val="23"/>
                <w:lang w:val="en-GB"/>
              </w:rPr>
              <w:t>,</w:t>
            </w:r>
            <w:r w:rsidRPr="005105C7">
              <w:rPr>
                <w:color w:val="000000"/>
                <w:sz w:val="23"/>
                <w:szCs w:val="23"/>
                <w:lang w:val="en-GB"/>
              </w:rPr>
              <w:t>454</w:t>
            </w:r>
            <w:r w:rsidRPr="005105C7" w:rsidR="00CC4961">
              <w:rPr>
                <w:color w:val="000000"/>
                <w:sz w:val="23"/>
                <w:szCs w:val="23"/>
                <w:lang w:val="en-GB"/>
              </w:rPr>
              <w:t>,</w:t>
            </w:r>
            <w:r w:rsidRPr="005105C7">
              <w:rPr>
                <w:color w:val="000000"/>
                <w:sz w:val="23"/>
                <w:szCs w:val="23"/>
                <w:lang w:val="en-GB"/>
              </w:rPr>
              <w:t xml:space="preserve">473 </w:t>
            </w:r>
          </w:p>
        </w:tc>
      </w:tr>
      <w:tr w:rsidRPr="005105C7" w:rsidR="001B4E17" w:rsidTr="00DC73DA" w14:paraId="1F3031D2" w14:textId="77777777">
        <w:trPr>
          <w:trHeight w:val="109"/>
        </w:trPr>
        <w:tc>
          <w:tcPr>
            <w:tcW w:w="3624" w:type="dxa"/>
          </w:tcPr>
          <w:p w:rsidRPr="005105C7" w:rsidR="001B4E17" w:rsidP="001B4E17" w:rsidRDefault="001B4E17" w14:paraId="02CAF2E9" w14:textId="77777777">
            <w:pPr>
              <w:autoSpaceDE w:val="0"/>
              <w:autoSpaceDN w:val="0"/>
              <w:adjustRightInd w:val="0"/>
              <w:rPr>
                <w:color w:val="000000"/>
                <w:sz w:val="23"/>
                <w:szCs w:val="23"/>
                <w:lang w:val="en-GB"/>
              </w:rPr>
            </w:pPr>
            <w:r w:rsidRPr="005105C7">
              <w:rPr>
                <w:color w:val="000000"/>
                <w:sz w:val="23"/>
                <w:szCs w:val="23"/>
                <w:lang w:val="en-GB"/>
              </w:rPr>
              <w:t xml:space="preserve">Malta </w:t>
            </w:r>
          </w:p>
        </w:tc>
        <w:tc>
          <w:tcPr>
            <w:tcW w:w="3624" w:type="dxa"/>
          </w:tcPr>
          <w:p w:rsidRPr="005105C7" w:rsidR="001B4E17" w:rsidP="001B4E17" w:rsidRDefault="001B4E17" w14:paraId="3ED57D2E" w14:textId="36F21BEE">
            <w:pPr>
              <w:autoSpaceDE w:val="0"/>
              <w:autoSpaceDN w:val="0"/>
              <w:adjustRightInd w:val="0"/>
              <w:rPr>
                <w:color w:val="000000"/>
                <w:sz w:val="23"/>
                <w:szCs w:val="23"/>
                <w:lang w:val="en-GB"/>
              </w:rPr>
            </w:pPr>
            <w:r w:rsidRPr="005105C7">
              <w:rPr>
                <w:color w:val="000000"/>
                <w:sz w:val="23"/>
                <w:szCs w:val="23"/>
                <w:lang w:val="en-GB"/>
              </w:rPr>
              <w:t>9</w:t>
            </w:r>
            <w:r w:rsidRPr="005105C7" w:rsidR="00CC4961">
              <w:rPr>
                <w:color w:val="000000"/>
                <w:sz w:val="23"/>
                <w:szCs w:val="23"/>
                <w:lang w:val="en-GB"/>
              </w:rPr>
              <w:t>,</w:t>
            </w:r>
            <w:r w:rsidRPr="005105C7">
              <w:rPr>
                <w:color w:val="000000"/>
                <w:sz w:val="23"/>
                <w:szCs w:val="23"/>
                <w:lang w:val="en-GB"/>
              </w:rPr>
              <w:t>299</w:t>
            </w:r>
            <w:r w:rsidRPr="005105C7" w:rsidR="00CC4961">
              <w:rPr>
                <w:color w:val="000000"/>
                <w:sz w:val="23"/>
                <w:szCs w:val="23"/>
                <w:lang w:val="en-GB"/>
              </w:rPr>
              <w:t>,</w:t>
            </w:r>
            <w:r w:rsidRPr="005105C7">
              <w:rPr>
                <w:color w:val="000000"/>
                <w:sz w:val="23"/>
                <w:szCs w:val="23"/>
                <w:lang w:val="en-GB"/>
              </w:rPr>
              <w:t xml:space="preserve">769 </w:t>
            </w:r>
          </w:p>
        </w:tc>
      </w:tr>
      <w:tr w:rsidRPr="005105C7" w:rsidR="001B4E17" w:rsidTr="00DC73DA" w14:paraId="48831191" w14:textId="77777777">
        <w:trPr>
          <w:trHeight w:val="109"/>
        </w:trPr>
        <w:tc>
          <w:tcPr>
            <w:tcW w:w="3624" w:type="dxa"/>
          </w:tcPr>
          <w:p w:rsidRPr="005105C7" w:rsidR="001B4E17" w:rsidP="001B4E17" w:rsidRDefault="001B4E17" w14:paraId="16F4032F" w14:textId="77777777">
            <w:pPr>
              <w:autoSpaceDE w:val="0"/>
              <w:autoSpaceDN w:val="0"/>
              <w:adjustRightInd w:val="0"/>
              <w:rPr>
                <w:color w:val="000000"/>
                <w:sz w:val="23"/>
                <w:szCs w:val="23"/>
                <w:lang w:val="en-GB"/>
              </w:rPr>
            </w:pPr>
            <w:r w:rsidRPr="005105C7">
              <w:rPr>
                <w:color w:val="000000"/>
                <w:sz w:val="23"/>
                <w:szCs w:val="23"/>
                <w:lang w:val="en-GB"/>
              </w:rPr>
              <w:t xml:space="preserve">Netherlands </w:t>
            </w:r>
          </w:p>
        </w:tc>
        <w:tc>
          <w:tcPr>
            <w:tcW w:w="3624" w:type="dxa"/>
          </w:tcPr>
          <w:p w:rsidRPr="005105C7" w:rsidR="001B4E17" w:rsidP="001B4E17" w:rsidRDefault="001B4E17" w14:paraId="2A2AD6E6" w14:textId="340A12C7">
            <w:pPr>
              <w:autoSpaceDE w:val="0"/>
              <w:autoSpaceDN w:val="0"/>
              <w:adjustRightInd w:val="0"/>
              <w:rPr>
                <w:color w:val="000000"/>
                <w:sz w:val="23"/>
                <w:szCs w:val="23"/>
                <w:lang w:val="en-GB"/>
              </w:rPr>
            </w:pPr>
            <w:r w:rsidRPr="005105C7">
              <w:rPr>
                <w:color w:val="000000"/>
                <w:sz w:val="23"/>
                <w:szCs w:val="23"/>
                <w:lang w:val="en-GB"/>
              </w:rPr>
              <w:t>924</w:t>
            </w:r>
            <w:r w:rsidRPr="005105C7" w:rsidR="00CC4961">
              <w:rPr>
                <w:color w:val="000000"/>
                <w:sz w:val="23"/>
                <w:szCs w:val="23"/>
                <w:lang w:val="en-GB"/>
              </w:rPr>
              <w:t>,</w:t>
            </w:r>
            <w:r w:rsidRPr="005105C7">
              <w:rPr>
                <w:color w:val="000000"/>
                <w:sz w:val="23"/>
                <w:szCs w:val="23"/>
                <w:lang w:val="en-GB"/>
              </w:rPr>
              <w:t>777</w:t>
            </w:r>
            <w:r w:rsidRPr="005105C7" w:rsidR="00CC4961">
              <w:rPr>
                <w:color w:val="000000"/>
                <w:sz w:val="23"/>
                <w:szCs w:val="23"/>
                <w:lang w:val="en-GB"/>
              </w:rPr>
              <w:t>,</w:t>
            </w:r>
            <w:r w:rsidRPr="005105C7">
              <w:rPr>
                <w:color w:val="000000"/>
                <w:sz w:val="23"/>
                <w:szCs w:val="23"/>
                <w:lang w:val="en-GB"/>
              </w:rPr>
              <w:t xml:space="preserve">902 </w:t>
            </w:r>
          </w:p>
        </w:tc>
      </w:tr>
      <w:tr w:rsidRPr="005105C7" w:rsidR="001B4E17" w:rsidTr="00DC73DA" w14:paraId="70A78673" w14:textId="77777777">
        <w:trPr>
          <w:trHeight w:val="109"/>
        </w:trPr>
        <w:tc>
          <w:tcPr>
            <w:tcW w:w="3624" w:type="dxa"/>
          </w:tcPr>
          <w:p w:rsidRPr="005105C7" w:rsidR="001B4E17" w:rsidP="001B4E17" w:rsidRDefault="001B4E17" w14:paraId="6745C39C" w14:textId="77777777">
            <w:pPr>
              <w:autoSpaceDE w:val="0"/>
              <w:autoSpaceDN w:val="0"/>
              <w:adjustRightInd w:val="0"/>
              <w:rPr>
                <w:color w:val="000000"/>
                <w:sz w:val="23"/>
                <w:szCs w:val="23"/>
                <w:lang w:val="en-GB"/>
              </w:rPr>
            </w:pPr>
            <w:r w:rsidRPr="005105C7">
              <w:rPr>
                <w:color w:val="000000"/>
                <w:sz w:val="23"/>
                <w:szCs w:val="23"/>
                <w:lang w:val="en-GB"/>
              </w:rPr>
              <w:t xml:space="preserve">Poland </w:t>
            </w:r>
          </w:p>
        </w:tc>
        <w:tc>
          <w:tcPr>
            <w:tcW w:w="3624" w:type="dxa"/>
          </w:tcPr>
          <w:p w:rsidRPr="005105C7" w:rsidR="001B4E17" w:rsidP="001B4E17" w:rsidRDefault="001B4E17" w14:paraId="7A6E3300" w14:textId="363F715F">
            <w:pPr>
              <w:autoSpaceDE w:val="0"/>
              <w:autoSpaceDN w:val="0"/>
              <w:adjustRightInd w:val="0"/>
              <w:rPr>
                <w:color w:val="000000"/>
                <w:sz w:val="23"/>
                <w:szCs w:val="23"/>
                <w:lang w:val="en-GB"/>
              </w:rPr>
            </w:pPr>
            <w:r w:rsidRPr="005105C7">
              <w:rPr>
                <w:color w:val="000000"/>
                <w:sz w:val="23"/>
                <w:szCs w:val="23"/>
                <w:lang w:val="en-GB"/>
              </w:rPr>
              <w:t>1</w:t>
            </w:r>
            <w:r w:rsidRPr="005105C7" w:rsidR="00CC4961">
              <w:rPr>
                <w:color w:val="000000"/>
                <w:sz w:val="23"/>
                <w:szCs w:val="23"/>
                <w:lang w:val="en-GB"/>
              </w:rPr>
              <w:t>,</w:t>
            </w:r>
            <w:r w:rsidRPr="005105C7">
              <w:rPr>
                <w:color w:val="000000"/>
                <w:sz w:val="23"/>
                <w:szCs w:val="23"/>
                <w:lang w:val="en-GB"/>
              </w:rPr>
              <w:t>583</w:t>
            </w:r>
            <w:r w:rsidRPr="005105C7" w:rsidR="00CC4961">
              <w:rPr>
                <w:color w:val="000000"/>
                <w:sz w:val="23"/>
                <w:szCs w:val="23"/>
                <w:lang w:val="en-GB"/>
              </w:rPr>
              <w:t>,</w:t>
            </w:r>
            <w:r w:rsidRPr="005105C7">
              <w:rPr>
                <w:color w:val="000000"/>
                <w:sz w:val="23"/>
                <w:szCs w:val="23"/>
                <w:lang w:val="en-GB"/>
              </w:rPr>
              <w:t>938</w:t>
            </w:r>
            <w:r w:rsidRPr="005105C7" w:rsidR="00CC4961">
              <w:rPr>
                <w:color w:val="000000"/>
                <w:sz w:val="23"/>
                <w:szCs w:val="23"/>
                <w:lang w:val="en-GB"/>
              </w:rPr>
              <w:t>,</w:t>
            </w:r>
            <w:r w:rsidRPr="005105C7">
              <w:rPr>
                <w:color w:val="000000"/>
                <w:sz w:val="23"/>
                <w:szCs w:val="23"/>
                <w:lang w:val="en-GB"/>
              </w:rPr>
              <w:t xml:space="preserve">824 </w:t>
            </w:r>
          </w:p>
        </w:tc>
      </w:tr>
      <w:tr w:rsidRPr="005105C7" w:rsidR="001B4E17" w:rsidTr="00DC73DA" w14:paraId="183DA75A" w14:textId="77777777">
        <w:trPr>
          <w:trHeight w:val="109"/>
        </w:trPr>
        <w:tc>
          <w:tcPr>
            <w:tcW w:w="3624" w:type="dxa"/>
          </w:tcPr>
          <w:p w:rsidRPr="005105C7" w:rsidR="001B4E17" w:rsidP="001B4E17" w:rsidRDefault="001B4E17" w14:paraId="65DDE8EE" w14:textId="77777777">
            <w:pPr>
              <w:autoSpaceDE w:val="0"/>
              <w:autoSpaceDN w:val="0"/>
              <w:adjustRightInd w:val="0"/>
              <w:rPr>
                <w:color w:val="000000"/>
                <w:sz w:val="23"/>
                <w:szCs w:val="23"/>
                <w:lang w:val="en-GB"/>
              </w:rPr>
            </w:pPr>
            <w:r w:rsidRPr="005105C7">
              <w:rPr>
                <w:color w:val="000000"/>
                <w:sz w:val="23"/>
                <w:szCs w:val="23"/>
                <w:lang w:val="en-GB"/>
              </w:rPr>
              <w:t xml:space="preserve">Portugal </w:t>
            </w:r>
          </w:p>
        </w:tc>
        <w:tc>
          <w:tcPr>
            <w:tcW w:w="3624" w:type="dxa"/>
          </w:tcPr>
          <w:p w:rsidRPr="005105C7" w:rsidR="001B4E17" w:rsidP="3CFA28FA" w:rsidRDefault="001B4E17" w14:paraId="0D3DD5BF" w14:textId="4C73B77E">
            <w:pPr>
              <w:autoSpaceDE w:val="0"/>
              <w:autoSpaceDN w:val="0"/>
              <w:adjustRightInd w:val="0"/>
              <w:rPr>
                <w:color w:val="000000" w:themeColor="text1"/>
                <w:sz w:val="23"/>
                <w:szCs w:val="23"/>
                <w:lang w:val="en-GB"/>
              </w:rPr>
            </w:pPr>
            <w:r w:rsidRPr="005105C7">
              <w:rPr>
                <w:color w:val="000000" w:themeColor="text1"/>
                <w:sz w:val="23"/>
                <w:szCs w:val="23"/>
                <w:lang w:val="en-GB"/>
              </w:rPr>
              <w:t>429</w:t>
            </w:r>
            <w:r w:rsidRPr="005105C7" w:rsidR="00CC4961">
              <w:rPr>
                <w:color w:val="000000" w:themeColor="text1"/>
                <w:sz w:val="23"/>
                <w:szCs w:val="23"/>
                <w:lang w:val="en-GB"/>
              </w:rPr>
              <w:t>,</w:t>
            </w:r>
            <w:r w:rsidRPr="005105C7">
              <w:rPr>
                <w:color w:val="000000" w:themeColor="text1"/>
                <w:sz w:val="23"/>
                <w:szCs w:val="23"/>
                <w:lang w:val="en-GB"/>
              </w:rPr>
              <w:t>581</w:t>
            </w:r>
            <w:r w:rsidRPr="005105C7" w:rsidR="00CC4961">
              <w:rPr>
                <w:color w:val="000000" w:themeColor="text1"/>
                <w:sz w:val="23"/>
                <w:szCs w:val="23"/>
                <w:lang w:val="en-GB"/>
              </w:rPr>
              <w:t>,</w:t>
            </w:r>
            <w:r w:rsidRPr="005105C7">
              <w:rPr>
                <w:color w:val="000000" w:themeColor="text1"/>
                <w:sz w:val="23"/>
                <w:szCs w:val="23"/>
                <w:lang w:val="en-GB"/>
              </w:rPr>
              <w:t xml:space="preserve">969 </w:t>
            </w:r>
          </w:p>
        </w:tc>
      </w:tr>
      <w:tr w:rsidRPr="005105C7" w:rsidR="3CFA28FA" w:rsidTr="00DC73DA" w14:paraId="3021BB25" w14:textId="77777777">
        <w:trPr>
          <w:trHeight w:val="109"/>
        </w:trPr>
        <w:tc>
          <w:tcPr>
            <w:tcW w:w="3624" w:type="dxa"/>
          </w:tcPr>
          <w:p w:rsidRPr="005105C7" w:rsidR="3CFA28FA" w:rsidP="3CFA28FA" w:rsidRDefault="002B3EDF" w14:paraId="63D4DBB9" w14:textId="1F31C88E">
            <w:pPr>
              <w:rPr>
                <w:color w:val="000000" w:themeColor="text1"/>
                <w:sz w:val="23"/>
                <w:szCs w:val="23"/>
                <w:lang w:val="en-GB"/>
              </w:rPr>
            </w:pPr>
            <w:r w:rsidRPr="005105C7">
              <w:rPr>
                <w:color w:val="000000" w:themeColor="text1"/>
                <w:sz w:val="23"/>
                <w:szCs w:val="23"/>
                <w:lang w:val="en-GB"/>
              </w:rPr>
              <w:t>Romania</w:t>
            </w:r>
          </w:p>
        </w:tc>
        <w:tc>
          <w:tcPr>
            <w:tcW w:w="3624" w:type="dxa"/>
          </w:tcPr>
          <w:p w:rsidRPr="005105C7" w:rsidR="3CFA28FA" w:rsidP="3CFA28FA" w:rsidRDefault="00474B9E" w14:paraId="5E2BA49B" w14:textId="6AD4A3A2">
            <w:pPr>
              <w:rPr>
                <w:color w:val="000000" w:themeColor="text1"/>
                <w:sz w:val="23"/>
                <w:szCs w:val="23"/>
                <w:lang w:val="en-GB"/>
              </w:rPr>
            </w:pPr>
            <w:r w:rsidRPr="005105C7">
              <w:rPr>
                <w:color w:val="000000" w:themeColor="text1"/>
                <w:sz w:val="23"/>
                <w:szCs w:val="23"/>
                <w:lang w:val="en-GB"/>
              </w:rPr>
              <w:t>656</w:t>
            </w:r>
            <w:r w:rsidRPr="005105C7" w:rsidR="00CC4961">
              <w:rPr>
                <w:color w:val="000000" w:themeColor="text1"/>
                <w:sz w:val="23"/>
                <w:szCs w:val="23"/>
                <w:lang w:val="en-GB"/>
              </w:rPr>
              <w:t>,</w:t>
            </w:r>
            <w:r w:rsidRPr="005105C7">
              <w:rPr>
                <w:color w:val="000000" w:themeColor="text1"/>
                <w:sz w:val="23"/>
                <w:szCs w:val="23"/>
                <w:lang w:val="en-GB"/>
              </w:rPr>
              <w:t>059</w:t>
            </w:r>
            <w:r w:rsidRPr="005105C7" w:rsidR="00CC4961">
              <w:rPr>
                <w:color w:val="000000" w:themeColor="text1"/>
                <w:sz w:val="23"/>
                <w:szCs w:val="23"/>
                <w:lang w:val="en-GB"/>
              </w:rPr>
              <w:t>,</w:t>
            </w:r>
            <w:r w:rsidRPr="005105C7">
              <w:rPr>
                <w:color w:val="000000" w:themeColor="text1"/>
                <w:sz w:val="23"/>
                <w:szCs w:val="23"/>
                <w:lang w:val="en-GB"/>
              </w:rPr>
              <w:t>490</w:t>
            </w:r>
          </w:p>
        </w:tc>
      </w:tr>
      <w:tr w:rsidRPr="005105C7" w:rsidR="00DC73DA" w:rsidTr="00DC73DA" w14:paraId="0E8AC93D" w14:textId="77777777">
        <w:trPr>
          <w:trHeight w:val="109"/>
        </w:trPr>
        <w:tc>
          <w:tcPr>
            <w:tcW w:w="3624" w:type="dxa"/>
          </w:tcPr>
          <w:p w:rsidRPr="005105C7" w:rsidR="00DC73DA" w:rsidP="3CFA28FA" w:rsidRDefault="002B3EDF" w14:paraId="6B2D39E5" w14:textId="7EDE88EE">
            <w:pPr>
              <w:rPr>
                <w:color w:val="000000" w:themeColor="text1"/>
                <w:sz w:val="23"/>
                <w:szCs w:val="23"/>
                <w:lang w:val="en-GB"/>
              </w:rPr>
            </w:pPr>
            <w:r w:rsidRPr="005105C7">
              <w:rPr>
                <w:color w:val="000000" w:themeColor="text1"/>
                <w:sz w:val="23"/>
                <w:szCs w:val="23"/>
                <w:lang w:val="en-GB"/>
              </w:rPr>
              <w:t>Slovakia</w:t>
            </w:r>
          </w:p>
        </w:tc>
        <w:tc>
          <w:tcPr>
            <w:tcW w:w="3624" w:type="dxa"/>
          </w:tcPr>
          <w:p w:rsidRPr="005105C7" w:rsidR="00DC73DA" w:rsidP="3CFA28FA" w:rsidRDefault="00E72018" w14:paraId="4112EFEA" w14:textId="7542A794">
            <w:pPr>
              <w:rPr>
                <w:color w:val="000000" w:themeColor="text1"/>
                <w:sz w:val="23"/>
                <w:szCs w:val="23"/>
                <w:lang w:val="en-GB"/>
              </w:rPr>
            </w:pPr>
            <w:r w:rsidRPr="005105C7">
              <w:rPr>
                <w:color w:val="000000" w:themeColor="text1"/>
                <w:sz w:val="23"/>
                <w:szCs w:val="23"/>
                <w:lang w:val="en-GB"/>
              </w:rPr>
              <w:t>202</w:t>
            </w:r>
            <w:r w:rsidRPr="005105C7" w:rsidR="00CC4961">
              <w:rPr>
                <w:color w:val="000000" w:themeColor="text1"/>
                <w:sz w:val="23"/>
                <w:szCs w:val="23"/>
                <w:lang w:val="en-GB"/>
              </w:rPr>
              <w:t>,</w:t>
            </w:r>
            <w:r w:rsidRPr="005105C7">
              <w:rPr>
                <w:color w:val="000000" w:themeColor="text1"/>
                <w:sz w:val="23"/>
                <w:szCs w:val="23"/>
                <w:lang w:val="en-GB"/>
              </w:rPr>
              <w:t>268</w:t>
            </w:r>
            <w:r w:rsidRPr="005105C7" w:rsidR="00CC4961">
              <w:rPr>
                <w:color w:val="000000" w:themeColor="text1"/>
                <w:sz w:val="23"/>
                <w:szCs w:val="23"/>
                <w:lang w:val="en-GB"/>
              </w:rPr>
              <w:t>,</w:t>
            </w:r>
            <w:r w:rsidRPr="005105C7">
              <w:rPr>
                <w:color w:val="000000" w:themeColor="text1"/>
                <w:sz w:val="23"/>
                <w:szCs w:val="23"/>
                <w:lang w:val="en-GB"/>
              </w:rPr>
              <w:t>939</w:t>
            </w:r>
          </w:p>
        </w:tc>
      </w:tr>
      <w:tr w:rsidRPr="005105C7" w:rsidR="002B3EDF" w:rsidTr="00DC73DA" w14:paraId="00B9C064" w14:textId="77777777">
        <w:trPr>
          <w:trHeight w:val="109"/>
        </w:trPr>
        <w:tc>
          <w:tcPr>
            <w:tcW w:w="3624" w:type="dxa"/>
          </w:tcPr>
          <w:p w:rsidRPr="005105C7" w:rsidR="002B3EDF" w:rsidP="3CFA28FA" w:rsidRDefault="002B3EDF" w14:paraId="028417E0" w14:textId="7061506E">
            <w:pPr>
              <w:rPr>
                <w:color w:val="000000" w:themeColor="text1"/>
                <w:sz w:val="23"/>
                <w:szCs w:val="23"/>
                <w:lang w:val="en-GB"/>
              </w:rPr>
            </w:pPr>
            <w:r w:rsidRPr="005105C7">
              <w:rPr>
                <w:color w:val="000000" w:themeColor="text1"/>
                <w:sz w:val="23"/>
                <w:szCs w:val="23"/>
                <w:lang w:val="en-GB"/>
              </w:rPr>
              <w:t>Slovenia</w:t>
            </w:r>
          </w:p>
        </w:tc>
        <w:tc>
          <w:tcPr>
            <w:tcW w:w="3624" w:type="dxa"/>
          </w:tcPr>
          <w:p w:rsidRPr="005105C7" w:rsidR="002B3EDF" w:rsidP="3CFA28FA" w:rsidRDefault="00E72018" w14:paraId="20949F8E" w14:textId="40448E9A">
            <w:pPr>
              <w:rPr>
                <w:color w:val="000000" w:themeColor="text1"/>
                <w:sz w:val="23"/>
                <w:szCs w:val="23"/>
                <w:lang w:val="en-GB"/>
              </w:rPr>
            </w:pPr>
            <w:r w:rsidRPr="005105C7">
              <w:rPr>
                <w:color w:val="000000" w:themeColor="text1"/>
                <w:sz w:val="23"/>
                <w:szCs w:val="23"/>
                <w:lang w:val="en-GB"/>
              </w:rPr>
              <w:t>99</w:t>
            </w:r>
            <w:r w:rsidRPr="005105C7" w:rsidR="00CC4961">
              <w:rPr>
                <w:color w:val="000000" w:themeColor="text1"/>
                <w:sz w:val="23"/>
                <w:szCs w:val="23"/>
                <w:lang w:val="en-GB"/>
              </w:rPr>
              <w:t>,</w:t>
            </w:r>
            <w:r w:rsidRPr="005105C7">
              <w:rPr>
                <w:color w:val="000000" w:themeColor="text1"/>
                <w:sz w:val="23"/>
                <w:szCs w:val="23"/>
                <w:lang w:val="en-GB"/>
              </w:rPr>
              <w:t>425</w:t>
            </w:r>
            <w:r w:rsidRPr="005105C7" w:rsidR="00CC4961">
              <w:rPr>
                <w:color w:val="000000" w:themeColor="text1"/>
                <w:sz w:val="23"/>
                <w:szCs w:val="23"/>
                <w:lang w:val="en-GB"/>
              </w:rPr>
              <w:t>,</w:t>
            </w:r>
            <w:r w:rsidRPr="005105C7">
              <w:rPr>
                <w:color w:val="000000" w:themeColor="text1"/>
                <w:sz w:val="23"/>
                <w:szCs w:val="23"/>
                <w:lang w:val="en-GB"/>
              </w:rPr>
              <w:t>782</w:t>
            </w:r>
          </w:p>
        </w:tc>
      </w:tr>
      <w:tr w:rsidRPr="005105C7" w:rsidR="002B3EDF" w:rsidTr="00DC73DA" w14:paraId="2BAB2741" w14:textId="77777777">
        <w:trPr>
          <w:trHeight w:val="109"/>
        </w:trPr>
        <w:tc>
          <w:tcPr>
            <w:tcW w:w="3624" w:type="dxa"/>
          </w:tcPr>
          <w:p w:rsidRPr="005105C7" w:rsidR="002B3EDF" w:rsidP="3CFA28FA" w:rsidRDefault="002B3EDF" w14:paraId="02293040" w14:textId="662E6629">
            <w:pPr>
              <w:rPr>
                <w:color w:val="000000" w:themeColor="text1"/>
                <w:sz w:val="23"/>
                <w:szCs w:val="23"/>
                <w:lang w:val="en-GB"/>
              </w:rPr>
            </w:pPr>
            <w:r w:rsidRPr="005105C7">
              <w:rPr>
                <w:color w:val="000000" w:themeColor="text1"/>
                <w:sz w:val="23"/>
                <w:szCs w:val="23"/>
                <w:lang w:val="en-GB"/>
              </w:rPr>
              <w:t>Spain</w:t>
            </w:r>
          </w:p>
        </w:tc>
        <w:tc>
          <w:tcPr>
            <w:tcW w:w="3624" w:type="dxa"/>
          </w:tcPr>
          <w:p w:rsidRPr="005105C7" w:rsidR="002B3EDF" w:rsidP="3CFA28FA" w:rsidRDefault="00E72018" w14:paraId="012CB868" w14:textId="2EA87A45">
            <w:pPr>
              <w:rPr>
                <w:color w:val="000000" w:themeColor="text1"/>
                <w:sz w:val="23"/>
                <w:szCs w:val="23"/>
                <w:lang w:val="en-GB"/>
              </w:rPr>
            </w:pPr>
            <w:r w:rsidRPr="005105C7">
              <w:rPr>
                <w:color w:val="000000" w:themeColor="text1"/>
                <w:sz w:val="23"/>
                <w:szCs w:val="23"/>
                <w:lang w:val="en-GB"/>
              </w:rPr>
              <w:t>1</w:t>
            </w:r>
            <w:r w:rsidRPr="005105C7" w:rsidR="00CC4961">
              <w:rPr>
                <w:color w:val="000000" w:themeColor="text1"/>
                <w:sz w:val="23"/>
                <w:szCs w:val="23"/>
                <w:lang w:val="en-GB"/>
              </w:rPr>
              <w:t>,</w:t>
            </w:r>
            <w:r w:rsidRPr="005105C7">
              <w:rPr>
                <w:color w:val="000000" w:themeColor="text1"/>
                <w:sz w:val="23"/>
                <w:szCs w:val="23"/>
                <w:lang w:val="en-GB"/>
              </w:rPr>
              <w:t>766</w:t>
            </w:r>
            <w:r w:rsidRPr="005105C7" w:rsidR="00CC4961">
              <w:rPr>
                <w:color w:val="000000" w:themeColor="text1"/>
                <w:sz w:val="23"/>
                <w:szCs w:val="23"/>
                <w:lang w:val="en-GB"/>
              </w:rPr>
              <w:t>,</w:t>
            </w:r>
            <w:r w:rsidRPr="005105C7">
              <w:rPr>
                <w:color w:val="000000" w:themeColor="text1"/>
                <w:sz w:val="23"/>
                <w:szCs w:val="23"/>
                <w:lang w:val="en-GB"/>
              </w:rPr>
              <w:t>877</w:t>
            </w:r>
            <w:r w:rsidRPr="005105C7" w:rsidR="00CC4961">
              <w:rPr>
                <w:color w:val="000000" w:themeColor="text1"/>
                <w:sz w:val="23"/>
                <w:szCs w:val="23"/>
                <w:lang w:val="en-GB"/>
              </w:rPr>
              <w:t>,</w:t>
            </w:r>
            <w:r w:rsidRPr="005105C7">
              <w:rPr>
                <w:color w:val="000000" w:themeColor="text1"/>
                <w:sz w:val="23"/>
                <w:szCs w:val="23"/>
                <w:lang w:val="en-GB"/>
              </w:rPr>
              <w:t>232</w:t>
            </w:r>
          </w:p>
        </w:tc>
      </w:tr>
      <w:tr w:rsidRPr="005105C7" w:rsidR="002B3EDF" w:rsidTr="00DC73DA" w14:paraId="7AC22739" w14:textId="77777777">
        <w:trPr>
          <w:trHeight w:val="109"/>
        </w:trPr>
        <w:tc>
          <w:tcPr>
            <w:tcW w:w="3624" w:type="dxa"/>
          </w:tcPr>
          <w:p w:rsidRPr="005105C7" w:rsidR="002B3EDF" w:rsidP="3CFA28FA" w:rsidRDefault="002B3EDF" w14:paraId="219251D7" w14:textId="47261F44">
            <w:pPr>
              <w:rPr>
                <w:color w:val="000000" w:themeColor="text1"/>
                <w:sz w:val="23"/>
                <w:szCs w:val="23"/>
                <w:lang w:val="en-GB"/>
              </w:rPr>
            </w:pPr>
            <w:r w:rsidRPr="005105C7">
              <w:rPr>
                <w:color w:val="000000" w:themeColor="text1"/>
                <w:sz w:val="23"/>
                <w:szCs w:val="23"/>
                <w:lang w:val="en-GB"/>
              </w:rPr>
              <w:t>Sweden</w:t>
            </w:r>
          </w:p>
        </w:tc>
        <w:tc>
          <w:tcPr>
            <w:tcW w:w="3624" w:type="dxa"/>
          </w:tcPr>
          <w:p w:rsidRPr="005105C7" w:rsidR="002B3EDF" w:rsidP="3CFA28FA" w:rsidRDefault="00563F0E" w14:paraId="055A7834" w14:textId="1856AF72">
            <w:pPr>
              <w:rPr>
                <w:color w:val="000000" w:themeColor="text1"/>
                <w:sz w:val="23"/>
                <w:szCs w:val="23"/>
                <w:lang w:val="en-GB"/>
              </w:rPr>
            </w:pPr>
            <w:r w:rsidRPr="005105C7">
              <w:rPr>
                <w:color w:val="000000" w:themeColor="text1"/>
                <w:sz w:val="23"/>
                <w:szCs w:val="23"/>
                <w:lang w:val="en-GB"/>
              </w:rPr>
              <w:t>315</w:t>
            </w:r>
            <w:r w:rsidRPr="005105C7" w:rsidR="00CC4961">
              <w:rPr>
                <w:color w:val="000000" w:themeColor="text1"/>
                <w:sz w:val="23"/>
                <w:szCs w:val="23"/>
                <w:lang w:val="en-GB"/>
              </w:rPr>
              <w:t>,</w:t>
            </w:r>
            <w:r w:rsidRPr="005105C7">
              <w:rPr>
                <w:color w:val="000000" w:themeColor="text1"/>
                <w:sz w:val="23"/>
                <w:szCs w:val="23"/>
                <w:lang w:val="en-GB"/>
              </w:rPr>
              <w:t>554</w:t>
            </w:r>
            <w:r w:rsidRPr="005105C7" w:rsidR="00CC4961">
              <w:rPr>
                <w:color w:val="000000" w:themeColor="text1"/>
                <w:sz w:val="23"/>
                <w:szCs w:val="23"/>
                <w:lang w:val="en-GB"/>
              </w:rPr>
              <w:t>,</w:t>
            </w:r>
            <w:r w:rsidRPr="005105C7">
              <w:rPr>
                <w:color w:val="000000" w:themeColor="text1"/>
                <w:sz w:val="23"/>
                <w:szCs w:val="23"/>
                <w:lang w:val="en-GB"/>
              </w:rPr>
              <w:t>578</w:t>
            </w:r>
          </w:p>
        </w:tc>
      </w:tr>
      <w:tr w:rsidRPr="005105C7" w:rsidR="002B3EDF" w:rsidTr="00DC73DA" w14:paraId="428E8FEC" w14:textId="77777777">
        <w:trPr>
          <w:trHeight w:val="109"/>
        </w:trPr>
        <w:tc>
          <w:tcPr>
            <w:tcW w:w="3624" w:type="dxa"/>
          </w:tcPr>
          <w:p w:rsidRPr="005105C7" w:rsidR="002B3EDF" w:rsidP="3CFA28FA" w:rsidRDefault="002B3EDF" w14:paraId="1B0078EF" w14:textId="016FFD6C">
            <w:pPr>
              <w:rPr>
                <w:color w:val="000000" w:themeColor="text1"/>
                <w:sz w:val="23"/>
                <w:szCs w:val="23"/>
                <w:lang w:val="en-GB"/>
              </w:rPr>
            </w:pPr>
            <w:r w:rsidRPr="005105C7">
              <w:rPr>
                <w:color w:val="000000" w:themeColor="text1"/>
                <w:sz w:val="23"/>
                <w:szCs w:val="23"/>
                <w:lang w:val="en-GB"/>
              </w:rPr>
              <w:t>United Kingdom</w:t>
            </w:r>
          </w:p>
        </w:tc>
        <w:tc>
          <w:tcPr>
            <w:tcW w:w="3624" w:type="dxa"/>
          </w:tcPr>
          <w:p w:rsidRPr="005105C7" w:rsidR="002B3EDF" w:rsidP="3CFA28FA" w:rsidRDefault="00CC4961" w14:paraId="7C2C1780" w14:textId="62809443">
            <w:pPr>
              <w:rPr>
                <w:color w:val="000000" w:themeColor="text1"/>
                <w:sz w:val="23"/>
                <w:szCs w:val="23"/>
                <w:lang w:val="en-GB"/>
              </w:rPr>
            </w:pPr>
            <w:r w:rsidRPr="005105C7">
              <w:rPr>
                <w:color w:val="000000" w:themeColor="text1"/>
                <w:sz w:val="23"/>
                <w:szCs w:val="23"/>
                <w:lang w:val="en-GB"/>
              </w:rPr>
              <w:t>2,744,937,332</w:t>
            </w:r>
          </w:p>
        </w:tc>
      </w:tr>
      <w:tr w:rsidRPr="005105C7" w:rsidR="002B3EDF" w:rsidTr="00DC73DA" w14:paraId="57BFD466" w14:textId="77777777">
        <w:trPr>
          <w:trHeight w:val="109"/>
        </w:trPr>
        <w:tc>
          <w:tcPr>
            <w:tcW w:w="3624" w:type="dxa"/>
          </w:tcPr>
          <w:p w:rsidRPr="005105C7" w:rsidR="002B3EDF" w:rsidP="3CFA28FA" w:rsidRDefault="002B3EDF" w14:paraId="5C3160E0" w14:textId="4C8C4403">
            <w:pPr>
              <w:rPr>
                <w:color w:val="000000" w:themeColor="text1"/>
                <w:sz w:val="23"/>
                <w:szCs w:val="23"/>
                <w:lang w:val="en-GB"/>
              </w:rPr>
            </w:pPr>
            <w:r w:rsidRPr="005105C7">
              <w:rPr>
                <w:color w:val="000000" w:themeColor="text1"/>
                <w:sz w:val="23"/>
                <w:szCs w:val="23"/>
                <w:lang w:val="en-GB"/>
              </w:rPr>
              <w:t>Iceland</w:t>
            </w:r>
          </w:p>
        </w:tc>
        <w:tc>
          <w:tcPr>
            <w:tcW w:w="3624" w:type="dxa"/>
          </w:tcPr>
          <w:p w:rsidRPr="005105C7" w:rsidR="002B3EDF" w:rsidP="3CFA28FA" w:rsidRDefault="00CC4961" w14:paraId="6D5E5A6C" w14:textId="143C2A96">
            <w:pPr>
              <w:rPr>
                <w:color w:val="000000" w:themeColor="text1"/>
                <w:sz w:val="23"/>
                <w:szCs w:val="23"/>
                <w:lang w:val="en-GB"/>
              </w:rPr>
            </w:pPr>
            <w:r w:rsidRPr="005105C7">
              <w:rPr>
                <w:color w:val="000000" w:themeColor="text1"/>
                <w:sz w:val="23"/>
                <w:szCs w:val="23"/>
                <w:lang w:val="en-GB"/>
              </w:rPr>
              <w:t>15,327,217</w:t>
            </w:r>
          </w:p>
        </w:tc>
      </w:tr>
      <w:tr w:rsidRPr="005105C7" w:rsidR="002B3EDF" w:rsidTr="00DC73DA" w14:paraId="7ECD4756" w14:textId="77777777">
        <w:trPr>
          <w:trHeight w:val="109"/>
        </w:trPr>
        <w:tc>
          <w:tcPr>
            <w:tcW w:w="3624" w:type="dxa"/>
          </w:tcPr>
          <w:p w:rsidRPr="005105C7" w:rsidR="002B3EDF" w:rsidP="3CFA28FA" w:rsidRDefault="002B3EDF" w14:paraId="34C40966" w14:textId="11F3E27C">
            <w:pPr>
              <w:rPr>
                <w:color w:val="000000" w:themeColor="text1"/>
                <w:sz w:val="23"/>
                <w:szCs w:val="23"/>
                <w:lang w:val="en-GB"/>
              </w:rPr>
            </w:pPr>
            <w:r w:rsidRPr="005105C7">
              <w:rPr>
                <w:color w:val="000000" w:themeColor="text1"/>
                <w:sz w:val="23"/>
                <w:szCs w:val="23"/>
                <w:lang w:val="en-GB"/>
              </w:rPr>
              <w:t>Total</w:t>
            </w:r>
          </w:p>
        </w:tc>
        <w:tc>
          <w:tcPr>
            <w:tcW w:w="3624" w:type="dxa"/>
          </w:tcPr>
          <w:p w:rsidRPr="005105C7" w:rsidR="002B3EDF" w:rsidP="3CFA28FA" w:rsidRDefault="00CC4961" w14:paraId="5FA95922" w14:textId="0D483DA2">
            <w:pPr>
              <w:rPr>
                <w:color w:val="000000" w:themeColor="text1"/>
                <w:sz w:val="23"/>
                <w:szCs w:val="23"/>
                <w:lang w:val="en-GB"/>
              </w:rPr>
            </w:pPr>
            <w:r w:rsidRPr="005105C7">
              <w:rPr>
                <w:color w:val="000000" w:themeColor="text1"/>
                <w:sz w:val="23"/>
                <w:szCs w:val="23"/>
                <w:lang w:val="en-GB"/>
              </w:rPr>
              <w:t>21,791,343,942</w:t>
            </w:r>
          </w:p>
        </w:tc>
      </w:tr>
    </w:tbl>
    <w:p w:rsidR="00C537E4" w:rsidP="00C537E4" w:rsidRDefault="00C537E4" w14:paraId="534DF0B0" w14:textId="77777777">
      <w:pPr>
        <w:rPr>
          <w:sz w:val="22"/>
          <w:szCs w:val="22"/>
        </w:rPr>
      </w:pPr>
    </w:p>
    <w:p w:rsidRPr="00C537E4" w:rsidR="00C537E4" w:rsidP="00C537E4" w:rsidRDefault="00C537E4" w14:paraId="402F8061" w14:textId="77777777">
      <w:pPr>
        <w:ind w:firstLine="720"/>
        <w:rPr>
          <w:sz w:val="22"/>
          <w:szCs w:val="22"/>
        </w:rPr>
      </w:pPr>
    </w:p>
    <w:sectPr w:rsidRPr="00C537E4" w:rsidR="00C537E4" w:rsidSect="006306FF">
      <w:footerReference w:type="default" r:id="rId14"/>
      <w:pgSz w:w="11909" w:h="16834" w:orient="portrait" w:code="9"/>
      <w:pgMar w:top="1276" w:right="1276" w:bottom="992" w:left="1559"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24AF" w:rsidP="00C818D2" w:rsidRDefault="00A924AF" w14:paraId="29320ECC" w14:textId="77777777">
      <w:r>
        <w:separator/>
      </w:r>
    </w:p>
  </w:endnote>
  <w:endnote w:type="continuationSeparator" w:id="0">
    <w:p w:rsidR="00A924AF" w:rsidP="00C818D2" w:rsidRDefault="00A924AF" w14:paraId="27E416D3" w14:textId="77777777">
      <w:r>
        <w:continuationSeparator/>
      </w:r>
    </w:p>
  </w:endnote>
  <w:endnote w:type="continuationNotice" w:id="1">
    <w:p w:rsidR="00A924AF" w:rsidRDefault="00A924AF" w14:paraId="33484A0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B5C60" w:rsidR="00154DA0" w:rsidP="000C7AB9" w:rsidRDefault="00154DA0" w14:paraId="3AC93674" w14:textId="1E558BAB">
    <w:pPr>
      <w:pStyle w:val="Footer"/>
      <w:spacing w:before="360"/>
    </w:pPr>
    <w:r w:rsidRPr="00EB5C60">
      <w:rPr>
        <w:i/>
        <w:iCs/>
        <w:sz w:val="20"/>
        <w:szCs w:val="20"/>
      </w:rPr>
      <w:t xml:space="preserve">True-up report for the second commitment period by </w:t>
    </w:r>
    <w:r w:rsidRPr="00F11F13" w:rsidR="00F11F13">
      <w:rPr>
        <w:i/>
        <w:iCs/>
        <w:sz w:val="20"/>
        <w:szCs w:val="20"/>
      </w:rPr>
      <w:t>United Kingdom</w:t>
    </w:r>
    <w:r w:rsidRPr="00EB5C60">
      <w:rPr>
        <w:i/>
        <w:iCs/>
        <w:sz w:val="20"/>
        <w:szCs w:val="20"/>
      </w:rPr>
      <w:t xml:space="preserve"> </w:t>
    </w:r>
    <w:r w:rsidRPr="00EB5C60">
      <w:rPr>
        <w:i/>
        <w:iCs/>
        <w:sz w:val="20"/>
        <w:szCs w:val="20"/>
      </w:rPr>
      <w:tab/>
    </w:r>
    <w:r w:rsidRPr="00EB5C60">
      <w:rPr>
        <w:i/>
        <w:iCs/>
        <w:sz w:val="20"/>
        <w:szCs w:val="20"/>
      </w:rPr>
      <w:t xml:space="preserve">Page </w:t>
    </w:r>
    <w:r w:rsidRPr="00EB5C60">
      <w:rPr>
        <w:b/>
        <w:bCs/>
        <w:i/>
        <w:iCs/>
        <w:sz w:val="20"/>
        <w:szCs w:val="20"/>
      </w:rPr>
      <w:fldChar w:fldCharType="begin"/>
    </w:r>
    <w:r w:rsidRPr="00EB5C60">
      <w:rPr>
        <w:b/>
        <w:bCs/>
        <w:i/>
        <w:iCs/>
        <w:sz w:val="20"/>
        <w:szCs w:val="20"/>
      </w:rPr>
      <w:instrText xml:space="preserve"> PAGE  \* Arabic  \* MERGEFORMAT </w:instrText>
    </w:r>
    <w:r w:rsidRPr="00EB5C60">
      <w:rPr>
        <w:b/>
        <w:bCs/>
        <w:i/>
        <w:iCs/>
        <w:sz w:val="20"/>
        <w:szCs w:val="20"/>
      </w:rPr>
      <w:fldChar w:fldCharType="separate"/>
    </w:r>
    <w:r>
      <w:rPr>
        <w:b/>
        <w:bCs/>
        <w:i/>
        <w:iCs/>
        <w:sz w:val="20"/>
        <w:szCs w:val="20"/>
      </w:rPr>
      <w:t>3</w:t>
    </w:r>
    <w:r w:rsidRPr="00EB5C60">
      <w:rPr>
        <w:b/>
        <w:bCs/>
        <w:i/>
        <w:iCs/>
        <w:sz w:val="20"/>
        <w:szCs w:val="20"/>
      </w:rPr>
      <w:fldChar w:fldCharType="end"/>
    </w:r>
    <w:r w:rsidRPr="00EB5C60">
      <w:rPr>
        <w:i/>
        <w:iCs/>
        <w:sz w:val="20"/>
        <w:szCs w:val="20"/>
      </w:rPr>
      <w:t xml:space="preserve"> of </w:t>
    </w:r>
    <w:r w:rsidRPr="00EB5C60">
      <w:rPr>
        <w:b/>
        <w:bCs/>
        <w:i/>
        <w:iCs/>
        <w:sz w:val="20"/>
        <w:szCs w:val="20"/>
      </w:rPr>
      <w:fldChar w:fldCharType="begin"/>
    </w:r>
    <w:r w:rsidRPr="00EB5C60">
      <w:rPr>
        <w:b/>
        <w:bCs/>
        <w:i/>
        <w:iCs/>
        <w:sz w:val="20"/>
        <w:szCs w:val="20"/>
      </w:rPr>
      <w:instrText xml:space="preserve"> NUMPAGES  \* Arabic  \* MERGEFORMAT </w:instrText>
    </w:r>
    <w:r w:rsidRPr="00EB5C60">
      <w:rPr>
        <w:b/>
        <w:bCs/>
        <w:i/>
        <w:iCs/>
        <w:sz w:val="20"/>
        <w:szCs w:val="20"/>
      </w:rPr>
      <w:fldChar w:fldCharType="separate"/>
    </w:r>
    <w:r>
      <w:rPr>
        <w:b/>
        <w:bCs/>
        <w:i/>
        <w:iCs/>
        <w:sz w:val="20"/>
        <w:szCs w:val="20"/>
      </w:rPr>
      <w:t>4</w:t>
    </w:r>
    <w:r w:rsidRPr="00EB5C60">
      <w:rPr>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24AF" w:rsidP="00C818D2" w:rsidRDefault="00A924AF" w14:paraId="3811BCC8" w14:textId="77777777">
      <w:r>
        <w:separator/>
      </w:r>
    </w:p>
  </w:footnote>
  <w:footnote w:type="continuationSeparator" w:id="0">
    <w:p w:rsidR="00A924AF" w:rsidP="00C818D2" w:rsidRDefault="00A924AF" w14:paraId="366D617E" w14:textId="77777777">
      <w:r>
        <w:continuationSeparator/>
      </w:r>
    </w:p>
  </w:footnote>
  <w:footnote w:type="continuationNotice" w:id="1">
    <w:p w:rsidR="00A924AF" w:rsidRDefault="00A924AF" w14:paraId="0361F973" w14:textId="77777777"/>
  </w:footnote>
  <w:footnote w:id="2">
    <w:p w:rsidRPr="00C31C69" w:rsidR="00154DA0" w:rsidP="007559C1" w:rsidRDefault="00154DA0" w14:paraId="0284CB72" w14:textId="77777777">
      <w:pPr>
        <w:pStyle w:val="FootnoteText"/>
        <w:ind w:left="720"/>
        <w:rPr>
          <w:sz w:val="18"/>
          <w:szCs w:val="18"/>
        </w:rPr>
      </w:pPr>
      <w:r>
        <w:rPr>
          <w:rStyle w:val="FootnoteReference"/>
        </w:rPr>
        <w:footnoteRef/>
      </w:r>
      <w:r>
        <w:t xml:space="preserve"> </w:t>
      </w:r>
      <w:r w:rsidRPr="00B8022D">
        <w:rPr>
          <w:sz w:val="18"/>
        </w:rPr>
        <w:t xml:space="preserve">Section </w:t>
      </w:r>
      <w:r w:rsidRPr="00B8022D">
        <w:rPr>
          <w:sz w:val="18"/>
          <w:szCs w:val="18"/>
        </w:rPr>
        <w:t>XIII of decision 27/CMP.1</w:t>
      </w:r>
      <w:r w:rsidRPr="00C31C69">
        <w:rPr>
          <w:sz w:val="18"/>
          <w:szCs w:val="18"/>
        </w:rPr>
        <w:t xml:space="preserve"> (Procedures and mechanisms related to compliance under the Kyoto Protocol) defines the additional period for fulfilling commitments. </w:t>
      </w:r>
    </w:p>
  </w:footnote>
  <w:footnote w:id="3">
    <w:p w:rsidRPr="00C31C69" w:rsidR="00154DA0" w:rsidP="008F0A80" w:rsidRDefault="00154DA0" w14:paraId="0284CB73" w14:textId="7B932B49">
      <w:pPr>
        <w:pStyle w:val="FootnoteText"/>
        <w:ind w:left="709" w:firstLine="11"/>
      </w:pPr>
      <w:r w:rsidRPr="00C31C69">
        <w:rPr>
          <w:rStyle w:val="FootnoteReference"/>
          <w:sz w:val="18"/>
          <w:szCs w:val="18"/>
        </w:rPr>
        <w:footnoteRef/>
      </w:r>
      <w:r w:rsidRPr="00C31C69">
        <w:rPr>
          <w:sz w:val="18"/>
          <w:szCs w:val="18"/>
        </w:rPr>
        <w:t xml:space="preserve"> </w:t>
      </w:r>
      <w:r w:rsidRPr="00B8022D">
        <w:rPr>
          <w:sz w:val="18"/>
          <w:szCs w:val="18"/>
        </w:rPr>
        <w:t>Decisions 5/CMP.1, 13/CMP.1, 15/CMP.1, 22/CMP.1, 27/CMP.1</w:t>
      </w:r>
      <w:r>
        <w:rPr>
          <w:sz w:val="18"/>
          <w:szCs w:val="18"/>
        </w:rPr>
        <w:t>, 1/CMP.8,</w:t>
      </w:r>
      <w:r w:rsidRPr="00B8022D">
        <w:rPr>
          <w:sz w:val="18"/>
          <w:szCs w:val="18"/>
        </w:rPr>
        <w:t xml:space="preserve"> </w:t>
      </w:r>
      <w:r>
        <w:rPr>
          <w:sz w:val="18"/>
          <w:szCs w:val="18"/>
        </w:rPr>
        <w:t>1/CMP.17, 3/CMP.11 and 4/CMP.11.</w:t>
      </w:r>
    </w:p>
  </w:footnote>
  <w:footnote w:id="4">
    <w:p w:rsidR="00154DA0" w:rsidP="00032AD1" w:rsidRDefault="00154DA0" w14:paraId="0284CB74" w14:textId="6A1122D3">
      <w:pPr>
        <w:pStyle w:val="ListParagraph"/>
        <w:spacing w:after="0"/>
        <w:jc w:val="both"/>
      </w:pPr>
      <w:r w:rsidRPr="00F02E47">
        <w:rPr>
          <w:rStyle w:val="FootnoteReference"/>
          <w:sz w:val="18"/>
          <w:szCs w:val="18"/>
        </w:rPr>
        <w:footnoteRef/>
      </w:r>
      <w:r>
        <w:rPr>
          <w:sz w:val="18"/>
          <w:szCs w:val="18"/>
        </w:rPr>
        <w:t xml:space="preserve"> Report </w:t>
      </w:r>
      <w:r w:rsidRPr="00F02E47">
        <w:rPr>
          <w:sz w:val="18"/>
          <w:szCs w:val="18"/>
        </w:rPr>
        <w:t>R2 (</w:t>
      </w:r>
      <w:r>
        <w:rPr>
          <w:sz w:val="18"/>
          <w:szCs w:val="18"/>
        </w:rPr>
        <w:t>l</w:t>
      </w:r>
      <w:r w:rsidRPr="00F02E47">
        <w:rPr>
          <w:sz w:val="18"/>
          <w:szCs w:val="18"/>
        </w:rPr>
        <w:t xml:space="preserve">ist of discrepant transactions) provides information on any discrepancies identified by the </w:t>
      </w:r>
      <w:r>
        <w:rPr>
          <w:sz w:val="18"/>
          <w:szCs w:val="18"/>
        </w:rPr>
        <w:t xml:space="preserve">international </w:t>
      </w:r>
      <w:r w:rsidRPr="00F02E47">
        <w:rPr>
          <w:sz w:val="18"/>
          <w:szCs w:val="18"/>
        </w:rPr>
        <w:t xml:space="preserve">transaction log, and additional information required under </w:t>
      </w:r>
      <w:r w:rsidRPr="00B8022D">
        <w:rPr>
          <w:sz w:val="18"/>
          <w:szCs w:val="18"/>
        </w:rPr>
        <w:t>paragraph 12 of the annex to decision 15/CMP.1</w:t>
      </w:r>
      <w:r w:rsidRPr="00F02E47">
        <w:rPr>
          <w:sz w:val="18"/>
          <w:szCs w:val="18"/>
        </w:rPr>
        <w:t>;</w:t>
      </w:r>
      <w:r>
        <w:rPr>
          <w:sz w:val="18"/>
          <w:szCs w:val="18"/>
        </w:rPr>
        <w:t xml:space="preserve"> report </w:t>
      </w:r>
      <w:r w:rsidRPr="00F02E47">
        <w:rPr>
          <w:sz w:val="18"/>
          <w:szCs w:val="18"/>
        </w:rPr>
        <w:t>R3 (</w:t>
      </w:r>
      <w:r>
        <w:rPr>
          <w:sz w:val="18"/>
          <w:szCs w:val="18"/>
        </w:rPr>
        <w:t>l</w:t>
      </w:r>
      <w:r w:rsidRPr="00F02E47">
        <w:rPr>
          <w:sz w:val="18"/>
          <w:szCs w:val="18"/>
        </w:rPr>
        <w:t xml:space="preserve">ist of </w:t>
      </w:r>
      <w:r>
        <w:rPr>
          <w:sz w:val="18"/>
          <w:szCs w:val="18"/>
        </w:rPr>
        <w:t>clean development mechanism (</w:t>
      </w:r>
      <w:r w:rsidRPr="00F02E47">
        <w:rPr>
          <w:sz w:val="18"/>
          <w:szCs w:val="18"/>
        </w:rPr>
        <w:t>CDM</w:t>
      </w:r>
      <w:r>
        <w:rPr>
          <w:sz w:val="18"/>
          <w:szCs w:val="18"/>
        </w:rPr>
        <w:t>)</w:t>
      </w:r>
      <w:r w:rsidRPr="00F02E47">
        <w:rPr>
          <w:sz w:val="18"/>
          <w:szCs w:val="18"/>
        </w:rPr>
        <w:t xml:space="preserve"> notifications) provides information on any notification received by the Party from the Executive Board of the CDM, directing the Party to replace </w:t>
      </w:r>
      <w:r w:rsidRPr="00B8022D">
        <w:rPr>
          <w:sz w:val="18"/>
          <w:szCs w:val="18"/>
        </w:rPr>
        <w:t>long-term certified emission reductions</w:t>
      </w:r>
      <w:r w:rsidRPr="00F02E47">
        <w:rPr>
          <w:sz w:val="18"/>
          <w:szCs w:val="18"/>
        </w:rPr>
        <w:t xml:space="preserve">, in accordance with </w:t>
      </w:r>
      <w:r w:rsidRPr="00B8022D">
        <w:rPr>
          <w:sz w:val="18"/>
          <w:szCs w:val="18"/>
        </w:rPr>
        <w:t>paragraphs 13–14 of the annex to decision 15/CMP.1</w:t>
      </w:r>
      <w:r w:rsidRPr="00F02E47">
        <w:rPr>
          <w:sz w:val="18"/>
          <w:szCs w:val="18"/>
        </w:rPr>
        <w:t>;</w:t>
      </w:r>
      <w:r>
        <w:rPr>
          <w:sz w:val="18"/>
          <w:szCs w:val="18"/>
        </w:rPr>
        <w:t xml:space="preserve"> report R</w:t>
      </w:r>
      <w:r w:rsidRPr="00F02E47">
        <w:rPr>
          <w:sz w:val="18"/>
          <w:szCs w:val="18"/>
        </w:rPr>
        <w:t>4 (</w:t>
      </w:r>
      <w:r>
        <w:rPr>
          <w:sz w:val="18"/>
          <w:szCs w:val="18"/>
        </w:rPr>
        <w:t>l</w:t>
      </w:r>
      <w:r w:rsidRPr="00F02E47">
        <w:rPr>
          <w:sz w:val="18"/>
          <w:szCs w:val="18"/>
        </w:rPr>
        <w:t>ist of non-replacements) provides information on any record of non-replacement identifi</w:t>
      </w:r>
      <w:r>
        <w:rPr>
          <w:sz w:val="18"/>
          <w:szCs w:val="18"/>
        </w:rPr>
        <w:t xml:space="preserve">ed by the international transaction log, and </w:t>
      </w:r>
      <w:r w:rsidRPr="00F02E47">
        <w:rPr>
          <w:sz w:val="18"/>
          <w:szCs w:val="18"/>
        </w:rPr>
        <w:t xml:space="preserve">the additional information required under </w:t>
      </w:r>
      <w:r w:rsidRPr="00B8022D">
        <w:rPr>
          <w:sz w:val="18"/>
          <w:szCs w:val="18"/>
        </w:rPr>
        <w:t>paragraph 15 of the annex to decision 15/CMP.1</w:t>
      </w:r>
      <w:r w:rsidRPr="00F02E47">
        <w:rPr>
          <w:sz w:val="18"/>
          <w:szCs w:val="18"/>
        </w:rPr>
        <w:t>;</w:t>
      </w:r>
      <w:r>
        <w:rPr>
          <w:sz w:val="18"/>
          <w:szCs w:val="18"/>
        </w:rPr>
        <w:t xml:space="preserve"> report </w:t>
      </w:r>
      <w:r w:rsidRPr="00F02E47">
        <w:rPr>
          <w:sz w:val="18"/>
          <w:szCs w:val="18"/>
        </w:rPr>
        <w:t>R5 (</w:t>
      </w:r>
      <w:r>
        <w:rPr>
          <w:sz w:val="18"/>
          <w:szCs w:val="18"/>
        </w:rPr>
        <w:t>l</w:t>
      </w:r>
      <w:r w:rsidRPr="00F02E47">
        <w:rPr>
          <w:sz w:val="18"/>
          <w:szCs w:val="18"/>
        </w:rPr>
        <w:t xml:space="preserve">ist of invalid units) provides information on the quantities of Kyoto Protocol units held in the national registry that are not valid for use towards compliance with commitments under Article 3, paragraph 1, in accordance with </w:t>
      </w:r>
      <w:r w:rsidRPr="00B8022D">
        <w:rPr>
          <w:sz w:val="18"/>
          <w:szCs w:val="18"/>
        </w:rPr>
        <w:t>paragraph 16 of the annex to decision 15/CMP.1</w:t>
      </w:r>
      <w:r w:rsidRPr="00F02E47">
        <w:rPr>
          <w:sz w:val="18"/>
          <w:szCs w:val="18"/>
        </w:rPr>
        <w:t>.</w:t>
      </w:r>
    </w:p>
  </w:footnote>
  <w:footnote w:id="5">
    <w:p w:rsidR="1AAC11D3" w:rsidP="1AAC11D3" w:rsidRDefault="1AAC11D3" w14:paraId="1AFF145E" w14:textId="2ADFD9FB">
      <w:pPr>
        <w:pStyle w:val="FootnoteText"/>
      </w:pPr>
      <w:r w:rsidRPr="1AAC11D3">
        <w:rPr>
          <w:rStyle w:val="FootnoteReference"/>
        </w:rPr>
        <w:footnoteRef/>
      </w:r>
      <w:r>
        <w:t xml:space="preserve"> </w:t>
      </w:r>
      <w:r w:rsidRPr="1AAC11D3">
        <w:rPr>
          <w:sz w:val="18"/>
          <w:szCs w:val="18"/>
        </w:rPr>
        <w:t>For the SEF tables from 1 January to 9 September 2023, see paragraph 7 in this report.</w:t>
      </w:r>
    </w:p>
  </w:footnote>
  <w:footnote w:id="6">
    <w:p w:rsidR="00154DA0" w:rsidRDefault="00154DA0" w14:paraId="0284CB75" w14:textId="441C0597">
      <w:pPr>
        <w:pStyle w:val="FootnoteText"/>
      </w:pPr>
      <w:r>
        <w:rPr>
          <w:rStyle w:val="FootnoteReference"/>
        </w:rPr>
        <w:footnoteRef/>
      </w:r>
      <w:r>
        <w:t xml:space="preserve"> </w:t>
      </w:r>
      <w:r w:rsidRPr="001A5D14">
        <w:rPr>
          <w:sz w:val="18"/>
          <w:szCs w:val="18"/>
        </w:rPr>
        <w:t>FCCC/ARR/</w:t>
      </w:r>
      <w:r>
        <w:rPr>
          <w:sz w:val="18"/>
          <w:szCs w:val="18"/>
        </w:rPr>
        <w:t>2022</w:t>
      </w:r>
      <w:r w:rsidRPr="000C35D3">
        <w:rPr>
          <w:sz w:val="18"/>
          <w:szCs w:val="18"/>
        </w:rPr>
        <w:t>/ISO.</w:t>
      </w:r>
    </w:p>
  </w:footnote>
  <w:footnote w:id="7">
    <w:p w:rsidRPr="00F31EE1" w:rsidR="00F31EE1" w:rsidP="00F31EE1" w:rsidRDefault="00F31EE1" w14:paraId="742EBCC8" w14:textId="4E1F7B09">
      <w:pPr>
        <w:autoSpaceDE w:val="0"/>
        <w:autoSpaceDN w:val="0"/>
        <w:adjustRightInd w:val="0"/>
        <w:rPr>
          <w:rFonts w:asciiTheme="minorHAnsi" w:hAnsiTheme="minorHAnsi" w:cstheme="minorHAnsi"/>
          <w:color w:val="000000"/>
          <w:sz w:val="18"/>
          <w:szCs w:val="18"/>
          <w:lang w:val="en-GB"/>
        </w:rPr>
      </w:pPr>
      <w:r w:rsidRPr="00F31EE1">
        <w:rPr>
          <w:rStyle w:val="FootnoteReference"/>
          <w:rFonts w:asciiTheme="minorHAnsi" w:hAnsiTheme="minorHAnsi" w:cstheme="minorHAnsi"/>
          <w:sz w:val="18"/>
          <w:szCs w:val="18"/>
        </w:rPr>
        <w:footnoteRef/>
      </w:r>
      <w:r w:rsidRPr="00F31EE1">
        <w:rPr>
          <w:rFonts w:asciiTheme="minorHAnsi" w:hAnsiTheme="minorHAnsi" w:cstheme="minorHAnsi"/>
          <w:sz w:val="18"/>
          <w:szCs w:val="18"/>
        </w:rPr>
        <w:t xml:space="preserve"> </w:t>
      </w:r>
      <w:r w:rsidRPr="001B4E17">
        <w:rPr>
          <w:rFonts w:asciiTheme="minorHAnsi" w:hAnsiTheme="minorHAnsi" w:cstheme="minorHAnsi"/>
          <w:color w:val="000000"/>
          <w:sz w:val="18"/>
          <w:szCs w:val="18"/>
          <w:lang w:val="en-GB"/>
        </w:rPr>
        <w:t xml:space="preserve">In this Annex, ‘Member States’ should be understood as the current 27 EU Member States and the United Kingdom. </w:t>
      </w:r>
    </w:p>
  </w:footnote>
  <w:footnote w:id="8">
    <w:p w:rsidRPr="005B315D" w:rsidR="005B315D" w:rsidP="005B315D" w:rsidRDefault="005B315D" w14:paraId="139AE376" w14:textId="75C31A98">
      <w:pPr>
        <w:autoSpaceDE w:val="0"/>
        <w:autoSpaceDN w:val="0"/>
        <w:adjustRightInd w:val="0"/>
        <w:rPr>
          <w:rFonts w:ascii="Calibri" w:hAnsi="Calibri" w:cs="Calibri"/>
          <w:color w:val="000000"/>
          <w:sz w:val="22"/>
          <w:szCs w:val="22"/>
          <w:lang w:val="en-GB"/>
        </w:rPr>
      </w:pPr>
      <w:r w:rsidRPr="00F31EE1">
        <w:rPr>
          <w:rStyle w:val="FootnoteReference"/>
          <w:rFonts w:asciiTheme="minorHAnsi" w:hAnsiTheme="minorHAnsi" w:cstheme="minorHAnsi"/>
          <w:sz w:val="18"/>
          <w:szCs w:val="18"/>
        </w:rPr>
        <w:footnoteRef/>
      </w:r>
      <w:r w:rsidRPr="00F31EE1">
        <w:rPr>
          <w:rFonts w:asciiTheme="minorHAnsi" w:hAnsiTheme="minorHAnsi" w:cstheme="minorHAnsi"/>
          <w:sz w:val="18"/>
          <w:szCs w:val="18"/>
        </w:rPr>
        <w:t xml:space="preserve"> </w:t>
      </w:r>
      <w:r w:rsidRPr="001B4E17">
        <w:rPr>
          <w:rFonts w:asciiTheme="minorHAnsi" w:hAnsiTheme="minorHAnsi" w:cstheme="minorHAnsi"/>
          <w:color w:val="0000FF"/>
          <w:sz w:val="18"/>
          <w:szCs w:val="18"/>
          <w:lang w:val="en-GB"/>
        </w:rPr>
        <w:t>https://unfccc.int/process/transparency-and-reporting/reporting-and-review-under-the-kyoto-protocol/second-commitment-period/initial-reports</w:t>
      </w:r>
      <w:r w:rsidRPr="001B4E17">
        <w:rPr>
          <w:rFonts w:ascii="Calibri" w:hAnsi="Calibri" w:cs="Calibri"/>
          <w:color w:val="0000FF"/>
          <w:sz w:val="22"/>
          <w:szCs w:val="22"/>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7CCF"/>
    <w:multiLevelType w:val="hybridMultilevel"/>
    <w:tmpl w:val="DC4AB950"/>
    <w:lvl w:ilvl="0" w:tplc="B024C828">
      <w:start w:val="1"/>
      <w:numFmt w:val="upperRoman"/>
      <w:pStyle w:val="Heading1"/>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815F4"/>
    <w:multiLevelType w:val="hybridMultilevel"/>
    <w:tmpl w:val="50565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64ADD"/>
    <w:multiLevelType w:val="hybridMultilevel"/>
    <w:tmpl w:val="69A2E1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851257"/>
    <w:multiLevelType w:val="hybridMultilevel"/>
    <w:tmpl w:val="D098E97C"/>
    <w:lvl w:ilvl="0" w:tplc="F1DACF4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8A7F0C"/>
    <w:multiLevelType w:val="hybridMultilevel"/>
    <w:tmpl w:val="54105980"/>
    <w:lvl w:ilvl="0" w:tplc="25F2013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500118460">
    <w:abstractNumId w:val="3"/>
  </w:num>
  <w:num w:numId="2" w16cid:durableId="2133358294">
    <w:abstractNumId w:val="1"/>
  </w:num>
  <w:num w:numId="3" w16cid:durableId="1765227634">
    <w:abstractNumId w:val="0"/>
  </w:num>
  <w:num w:numId="4" w16cid:durableId="1168253924">
    <w:abstractNumId w:val="4"/>
  </w:num>
  <w:num w:numId="5" w16cid:durableId="119716293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proofState w:spelling="clean"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C2"/>
    <w:rsid w:val="00011D40"/>
    <w:rsid w:val="0001243D"/>
    <w:rsid w:val="00017C5B"/>
    <w:rsid w:val="000312FC"/>
    <w:rsid w:val="00032AD1"/>
    <w:rsid w:val="00034CDE"/>
    <w:rsid w:val="00035421"/>
    <w:rsid w:val="00053778"/>
    <w:rsid w:val="00055281"/>
    <w:rsid w:val="000840A4"/>
    <w:rsid w:val="00094149"/>
    <w:rsid w:val="000A0F44"/>
    <w:rsid w:val="000A12A6"/>
    <w:rsid w:val="000C35D3"/>
    <w:rsid w:val="000C7AB9"/>
    <w:rsid w:val="000D43D9"/>
    <w:rsid w:val="000D495C"/>
    <w:rsid w:val="000E1F73"/>
    <w:rsid w:val="000E5185"/>
    <w:rsid w:val="000E6993"/>
    <w:rsid w:val="000F761E"/>
    <w:rsid w:val="00100C12"/>
    <w:rsid w:val="0010540B"/>
    <w:rsid w:val="00111B3D"/>
    <w:rsid w:val="001126AA"/>
    <w:rsid w:val="0011746A"/>
    <w:rsid w:val="001226CD"/>
    <w:rsid w:val="00134BCB"/>
    <w:rsid w:val="001368C8"/>
    <w:rsid w:val="00136984"/>
    <w:rsid w:val="00150D56"/>
    <w:rsid w:val="00150FD8"/>
    <w:rsid w:val="00154DA0"/>
    <w:rsid w:val="001560E6"/>
    <w:rsid w:val="00160964"/>
    <w:rsid w:val="00167AB2"/>
    <w:rsid w:val="001A5D14"/>
    <w:rsid w:val="001A763A"/>
    <w:rsid w:val="001A7B23"/>
    <w:rsid w:val="001B1883"/>
    <w:rsid w:val="001B2740"/>
    <w:rsid w:val="001B3323"/>
    <w:rsid w:val="001B40B1"/>
    <w:rsid w:val="001B4E17"/>
    <w:rsid w:val="001B518B"/>
    <w:rsid w:val="001C3547"/>
    <w:rsid w:val="001D3D9D"/>
    <w:rsid w:val="001E265A"/>
    <w:rsid w:val="002200A1"/>
    <w:rsid w:val="00226A9D"/>
    <w:rsid w:val="0024155B"/>
    <w:rsid w:val="00253F75"/>
    <w:rsid w:val="00256339"/>
    <w:rsid w:val="00263661"/>
    <w:rsid w:val="002732EA"/>
    <w:rsid w:val="00285ED4"/>
    <w:rsid w:val="002A52C6"/>
    <w:rsid w:val="002A7F90"/>
    <w:rsid w:val="002B3EDF"/>
    <w:rsid w:val="002D0781"/>
    <w:rsid w:val="002E1EC1"/>
    <w:rsid w:val="00302E5D"/>
    <w:rsid w:val="00311D06"/>
    <w:rsid w:val="00324DF3"/>
    <w:rsid w:val="00326562"/>
    <w:rsid w:val="0033666C"/>
    <w:rsid w:val="0034536C"/>
    <w:rsid w:val="00346C7A"/>
    <w:rsid w:val="00350527"/>
    <w:rsid w:val="003523E7"/>
    <w:rsid w:val="003610DC"/>
    <w:rsid w:val="00377D47"/>
    <w:rsid w:val="00383DE3"/>
    <w:rsid w:val="00393752"/>
    <w:rsid w:val="00394367"/>
    <w:rsid w:val="003943B1"/>
    <w:rsid w:val="003A2B24"/>
    <w:rsid w:val="003C208F"/>
    <w:rsid w:val="003C42F4"/>
    <w:rsid w:val="003C45B0"/>
    <w:rsid w:val="003C5B06"/>
    <w:rsid w:val="003D463B"/>
    <w:rsid w:val="003D50C2"/>
    <w:rsid w:val="00401B9E"/>
    <w:rsid w:val="004263F7"/>
    <w:rsid w:val="00462CBC"/>
    <w:rsid w:val="00474B9E"/>
    <w:rsid w:val="0047544A"/>
    <w:rsid w:val="00476733"/>
    <w:rsid w:val="00477E61"/>
    <w:rsid w:val="0048131B"/>
    <w:rsid w:val="004857F5"/>
    <w:rsid w:val="00492FCB"/>
    <w:rsid w:val="004A2592"/>
    <w:rsid w:val="004A77AD"/>
    <w:rsid w:val="004B276A"/>
    <w:rsid w:val="004C2AFD"/>
    <w:rsid w:val="004F3CCF"/>
    <w:rsid w:val="00504BBD"/>
    <w:rsid w:val="005105C7"/>
    <w:rsid w:val="005203B2"/>
    <w:rsid w:val="005238FC"/>
    <w:rsid w:val="00536302"/>
    <w:rsid w:val="00537B59"/>
    <w:rsid w:val="00537DBD"/>
    <w:rsid w:val="00541C65"/>
    <w:rsid w:val="00547999"/>
    <w:rsid w:val="00550820"/>
    <w:rsid w:val="00550F02"/>
    <w:rsid w:val="00555CAF"/>
    <w:rsid w:val="00556E2F"/>
    <w:rsid w:val="00560066"/>
    <w:rsid w:val="00563F0E"/>
    <w:rsid w:val="00581594"/>
    <w:rsid w:val="00591F2F"/>
    <w:rsid w:val="005A311E"/>
    <w:rsid w:val="005B1CA0"/>
    <w:rsid w:val="005B315D"/>
    <w:rsid w:val="005D0BDB"/>
    <w:rsid w:val="005F1C1E"/>
    <w:rsid w:val="00606BB4"/>
    <w:rsid w:val="00610372"/>
    <w:rsid w:val="00621D4F"/>
    <w:rsid w:val="00622758"/>
    <w:rsid w:val="006306FF"/>
    <w:rsid w:val="00633AB4"/>
    <w:rsid w:val="0063764C"/>
    <w:rsid w:val="00652716"/>
    <w:rsid w:val="006606D4"/>
    <w:rsid w:val="006778D5"/>
    <w:rsid w:val="00690292"/>
    <w:rsid w:val="00694C90"/>
    <w:rsid w:val="006958BF"/>
    <w:rsid w:val="006C2D1B"/>
    <w:rsid w:val="006C61F9"/>
    <w:rsid w:val="006D1C23"/>
    <w:rsid w:val="006E0605"/>
    <w:rsid w:val="006F4846"/>
    <w:rsid w:val="00712482"/>
    <w:rsid w:val="00714E50"/>
    <w:rsid w:val="00726771"/>
    <w:rsid w:val="007350AA"/>
    <w:rsid w:val="00737F30"/>
    <w:rsid w:val="00742D43"/>
    <w:rsid w:val="00743913"/>
    <w:rsid w:val="007559C1"/>
    <w:rsid w:val="0077768F"/>
    <w:rsid w:val="00780209"/>
    <w:rsid w:val="00791CD3"/>
    <w:rsid w:val="007A5036"/>
    <w:rsid w:val="007B135B"/>
    <w:rsid w:val="007B6C2A"/>
    <w:rsid w:val="007B6EC8"/>
    <w:rsid w:val="007C74BC"/>
    <w:rsid w:val="007D3DBB"/>
    <w:rsid w:val="007F3ECD"/>
    <w:rsid w:val="00800EC1"/>
    <w:rsid w:val="008040B2"/>
    <w:rsid w:val="00806532"/>
    <w:rsid w:val="00821C21"/>
    <w:rsid w:val="008571F1"/>
    <w:rsid w:val="00862957"/>
    <w:rsid w:val="00864782"/>
    <w:rsid w:val="00867D4C"/>
    <w:rsid w:val="0088301F"/>
    <w:rsid w:val="0088435F"/>
    <w:rsid w:val="008B4B7B"/>
    <w:rsid w:val="008C77DA"/>
    <w:rsid w:val="008D4D2C"/>
    <w:rsid w:val="008F0A80"/>
    <w:rsid w:val="008F1190"/>
    <w:rsid w:val="009025D1"/>
    <w:rsid w:val="00910116"/>
    <w:rsid w:val="00914622"/>
    <w:rsid w:val="009248F5"/>
    <w:rsid w:val="00930305"/>
    <w:rsid w:val="00934A4C"/>
    <w:rsid w:val="0095190C"/>
    <w:rsid w:val="0095369C"/>
    <w:rsid w:val="00953F5C"/>
    <w:rsid w:val="0095763E"/>
    <w:rsid w:val="0096247B"/>
    <w:rsid w:val="009631A9"/>
    <w:rsid w:val="0099681C"/>
    <w:rsid w:val="009A636D"/>
    <w:rsid w:val="009A65BF"/>
    <w:rsid w:val="009B3E8B"/>
    <w:rsid w:val="009D77C0"/>
    <w:rsid w:val="009D7B6D"/>
    <w:rsid w:val="009E7C8F"/>
    <w:rsid w:val="00A010CD"/>
    <w:rsid w:val="00A064A7"/>
    <w:rsid w:val="00A112D4"/>
    <w:rsid w:val="00A13F8E"/>
    <w:rsid w:val="00A17F70"/>
    <w:rsid w:val="00A51742"/>
    <w:rsid w:val="00A564E9"/>
    <w:rsid w:val="00A8699B"/>
    <w:rsid w:val="00A90B82"/>
    <w:rsid w:val="00A924AF"/>
    <w:rsid w:val="00A92CBA"/>
    <w:rsid w:val="00A93269"/>
    <w:rsid w:val="00AB62C6"/>
    <w:rsid w:val="00AC0F61"/>
    <w:rsid w:val="00AC5A98"/>
    <w:rsid w:val="00AC655B"/>
    <w:rsid w:val="00AD7134"/>
    <w:rsid w:val="00AE31C8"/>
    <w:rsid w:val="00B058FA"/>
    <w:rsid w:val="00B329DD"/>
    <w:rsid w:val="00B33D0E"/>
    <w:rsid w:val="00B35F1F"/>
    <w:rsid w:val="00B42FAF"/>
    <w:rsid w:val="00B52BCC"/>
    <w:rsid w:val="00B537EF"/>
    <w:rsid w:val="00B658E6"/>
    <w:rsid w:val="00B65A46"/>
    <w:rsid w:val="00B8022D"/>
    <w:rsid w:val="00B82893"/>
    <w:rsid w:val="00B82C4E"/>
    <w:rsid w:val="00B872F3"/>
    <w:rsid w:val="00BB27EF"/>
    <w:rsid w:val="00BC35F3"/>
    <w:rsid w:val="00BD7399"/>
    <w:rsid w:val="00BF04EB"/>
    <w:rsid w:val="00BF13D6"/>
    <w:rsid w:val="00C01BAC"/>
    <w:rsid w:val="00C31C69"/>
    <w:rsid w:val="00C32FB2"/>
    <w:rsid w:val="00C36B61"/>
    <w:rsid w:val="00C41C29"/>
    <w:rsid w:val="00C41F93"/>
    <w:rsid w:val="00C537E4"/>
    <w:rsid w:val="00C6661C"/>
    <w:rsid w:val="00C76CCE"/>
    <w:rsid w:val="00C818D2"/>
    <w:rsid w:val="00C908CB"/>
    <w:rsid w:val="00C95B69"/>
    <w:rsid w:val="00CA558A"/>
    <w:rsid w:val="00CA6C49"/>
    <w:rsid w:val="00CC4961"/>
    <w:rsid w:val="00CE0E45"/>
    <w:rsid w:val="00D128EE"/>
    <w:rsid w:val="00D218B6"/>
    <w:rsid w:val="00D30BA0"/>
    <w:rsid w:val="00D50911"/>
    <w:rsid w:val="00D50BBA"/>
    <w:rsid w:val="00D541D3"/>
    <w:rsid w:val="00D566A3"/>
    <w:rsid w:val="00D75C2B"/>
    <w:rsid w:val="00D84AC5"/>
    <w:rsid w:val="00D8602D"/>
    <w:rsid w:val="00D91459"/>
    <w:rsid w:val="00DC73DA"/>
    <w:rsid w:val="00DD19BA"/>
    <w:rsid w:val="00DD5C09"/>
    <w:rsid w:val="00DD5EDA"/>
    <w:rsid w:val="00DE75A6"/>
    <w:rsid w:val="00DF3BB3"/>
    <w:rsid w:val="00DF5626"/>
    <w:rsid w:val="00DF7636"/>
    <w:rsid w:val="00E36E80"/>
    <w:rsid w:val="00E4784C"/>
    <w:rsid w:val="00E703BF"/>
    <w:rsid w:val="00E72018"/>
    <w:rsid w:val="00E95540"/>
    <w:rsid w:val="00E97293"/>
    <w:rsid w:val="00EA0C9B"/>
    <w:rsid w:val="00EB3C16"/>
    <w:rsid w:val="00EB5C60"/>
    <w:rsid w:val="00EB71DA"/>
    <w:rsid w:val="00EC2541"/>
    <w:rsid w:val="00EC6214"/>
    <w:rsid w:val="00EE3101"/>
    <w:rsid w:val="00EF5F0C"/>
    <w:rsid w:val="00EF6F18"/>
    <w:rsid w:val="00EF7ACE"/>
    <w:rsid w:val="00F02E47"/>
    <w:rsid w:val="00F0494C"/>
    <w:rsid w:val="00F10D27"/>
    <w:rsid w:val="00F11F13"/>
    <w:rsid w:val="00F20935"/>
    <w:rsid w:val="00F25939"/>
    <w:rsid w:val="00F31EE1"/>
    <w:rsid w:val="00F33435"/>
    <w:rsid w:val="00F35384"/>
    <w:rsid w:val="00F3681C"/>
    <w:rsid w:val="00F45B2E"/>
    <w:rsid w:val="00F50FFC"/>
    <w:rsid w:val="00F57D14"/>
    <w:rsid w:val="00F662A2"/>
    <w:rsid w:val="00F724DD"/>
    <w:rsid w:val="00FA7F57"/>
    <w:rsid w:val="00FB6C83"/>
    <w:rsid w:val="00FB7040"/>
    <w:rsid w:val="00FD6C54"/>
    <w:rsid w:val="00FF0634"/>
    <w:rsid w:val="00FF1C05"/>
    <w:rsid w:val="00FF5816"/>
    <w:rsid w:val="00FF7929"/>
    <w:rsid w:val="01F4AB9D"/>
    <w:rsid w:val="0348B7F0"/>
    <w:rsid w:val="05E8EEA3"/>
    <w:rsid w:val="0919D31D"/>
    <w:rsid w:val="0B6A0772"/>
    <w:rsid w:val="0E4F67E5"/>
    <w:rsid w:val="109FB01E"/>
    <w:rsid w:val="10F26024"/>
    <w:rsid w:val="12C4EC8D"/>
    <w:rsid w:val="16CDF5A6"/>
    <w:rsid w:val="18757D64"/>
    <w:rsid w:val="19EDE690"/>
    <w:rsid w:val="1A578930"/>
    <w:rsid w:val="1AAC11D3"/>
    <w:rsid w:val="1F07B59E"/>
    <w:rsid w:val="22B14A8A"/>
    <w:rsid w:val="2A8E2A0E"/>
    <w:rsid w:val="2AED774F"/>
    <w:rsid w:val="2DC77BAC"/>
    <w:rsid w:val="2FD57D48"/>
    <w:rsid w:val="330D1E0A"/>
    <w:rsid w:val="37D3E7DD"/>
    <w:rsid w:val="399F254E"/>
    <w:rsid w:val="39FDFB3F"/>
    <w:rsid w:val="3CFA28FA"/>
    <w:rsid w:val="3DAAAC98"/>
    <w:rsid w:val="3E432961"/>
    <w:rsid w:val="411B7CE2"/>
    <w:rsid w:val="441704C7"/>
    <w:rsid w:val="44D75443"/>
    <w:rsid w:val="46A0B95A"/>
    <w:rsid w:val="49093885"/>
    <w:rsid w:val="4B308BB2"/>
    <w:rsid w:val="4B851663"/>
    <w:rsid w:val="4C49557D"/>
    <w:rsid w:val="4DA4BEB0"/>
    <w:rsid w:val="505105DA"/>
    <w:rsid w:val="508B4E13"/>
    <w:rsid w:val="51314C38"/>
    <w:rsid w:val="51D295D1"/>
    <w:rsid w:val="52271E74"/>
    <w:rsid w:val="526B8883"/>
    <w:rsid w:val="53AD5C39"/>
    <w:rsid w:val="55A32945"/>
    <w:rsid w:val="576EDF42"/>
    <w:rsid w:val="577885F2"/>
    <w:rsid w:val="582A5523"/>
    <w:rsid w:val="5A4CB2B5"/>
    <w:rsid w:val="5DBD23B4"/>
    <w:rsid w:val="5F30411E"/>
    <w:rsid w:val="63D0CB0A"/>
    <w:rsid w:val="656C9B6B"/>
    <w:rsid w:val="65722344"/>
    <w:rsid w:val="67086BCC"/>
    <w:rsid w:val="6B313533"/>
    <w:rsid w:val="6ECA80BA"/>
    <w:rsid w:val="6F3A5510"/>
    <w:rsid w:val="77ACF720"/>
    <w:rsid w:val="78C80EF9"/>
    <w:rsid w:val="7AE12AA4"/>
    <w:rsid w:val="7B5E2E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4CB0A"/>
  <w15:chartTrackingRefBased/>
  <w15:docId w15:val="{8A6EBFC7-A003-4E9E-958B-2662D1A8A9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20935"/>
    <w:rPr>
      <w:sz w:val="24"/>
      <w:szCs w:val="24"/>
    </w:rPr>
  </w:style>
  <w:style w:type="paragraph" w:styleId="Heading1">
    <w:name w:val="heading 1"/>
    <w:basedOn w:val="ListParagraph"/>
    <w:next w:val="Normal"/>
    <w:link w:val="Heading1Char"/>
    <w:qFormat/>
    <w:rsid w:val="00EF5F0C"/>
    <w:pPr>
      <w:keepNext/>
      <w:numPr>
        <w:numId w:val="3"/>
      </w:numPr>
      <w:spacing w:before="360" w:beforeLines="150" w:after="360" w:afterLines="150" w:line="264" w:lineRule="auto"/>
      <w:ind w:left="709" w:hanging="567"/>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81594"/>
    <w:pPr>
      <w:spacing w:after="120"/>
      <w:ind w:left="720"/>
    </w:pPr>
  </w:style>
  <w:style w:type="table" w:styleId="TableGrid">
    <w:name w:val="Table Grid"/>
    <w:basedOn w:val="TableNormal"/>
    <w:rsid w:val="00311D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rsid w:val="006C2D1B"/>
    <w:rPr>
      <w:sz w:val="16"/>
      <w:szCs w:val="16"/>
    </w:rPr>
  </w:style>
  <w:style w:type="paragraph" w:styleId="CommentText">
    <w:name w:val="annotation text"/>
    <w:basedOn w:val="Normal"/>
    <w:link w:val="CommentTextChar"/>
    <w:rsid w:val="006C2D1B"/>
    <w:rPr>
      <w:sz w:val="20"/>
      <w:szCs w:val="20"/>
    </w:rPr>
  </w:style>
  <w:style w:type="character" w:styleId="CommentTextChar" w:customStyle="1">
    <w:name w:val="Comment Text Char"/>
    <w:link w:val="CommentText"/>
    <w:rsid w:val="006C2D1B"/>
    <w:rPr>
      <w:lang w:val="en-US" w:eastAsia="en-US"/>
    </w:rPr>
  </w:style>
  <w:style w:type="paragraph" w:styleId="CommentSubject">
    <w:name w:val="annotation subject"/>
    <w:basedOn w:val="CommentText"/>
    <w:next w:val="CommentText"/>
    <w:link w:val="CommentSubjectChar"/>
    <w:rsid w:val="006C2D1B"/>
    <w:rPr>
      <w:b/>
      <w:bCs/>
    </w:rPr>
  </w:style>
  <w:style w:type="character" w:styleId="CommentSubjectChar" w:customStyle="1">
    <w:name w:val="Comment Subject Char"/>
    <w:link w:val="CommentSubject"/>
    <w:rsid w:val="006C2D1B"/>
    <w:rPr>
      <w:b/>
      <w:bCs/>
      <w:lang w:val="en-US" w:eastAsia="en-US"/>
    </w:rPr>
  </w:style>
  <w:style w:type="paragraph" w:styleId="BalloonText">
    <w:name w:val="Balloon Text"/>
    <w:basedOn w:val="Normal"/>
    <w:link w:val="BalloonTextChar"/>
    <w:rsid w:val="006C2D1B"/>
    <w:rPr>
      <w:rFonts w:ascii="Tahoma" w:hAnsi="Tahoma" w:cs="Tahoma"/>
      <w:sz w:val="16"/>
      <w:szCs w:val="16"/>
    </w:rPr>
  </w:style>
  <w:style w:type="character" w:styleId="BalloonTextChar" w:customStyle="1">
    <w:name w:val="Balloon Text Char"/>
    <w:link w:val="BalloonText"/>
    <w:rsid w:val="006C2D1B"/>
    <w:rPr>
      <w:rFonts w:ascii="Tahoma" w:hAnsi="Tahoma" w:cs="Tahoma"/>
      <w:sz w:val="16"/>
      <w:szCs w:val="16"/>
      <w:lang w:val="en-US" w:eastAsia="en-US"/>
    </w:rPr>
  </w:style>
  <w:style w:type="paragraph" w:styleId="Default" w:customStyle="1">
    <w:name w:val="Default"/>
    <w:rsid w:val="005F1C1E"/>
    <w:pPr>
      <w:autoSpaceDE w:val="0"/>
      <w:autoSpaceDN w:val="0"/>
      <w:adjustRightInd w:val="0"/>
    </w:pPr>
    <w:rPr>
      <w:rFonts w:ascii="Arial" w:hAnsi="Arial" w:cs="Arial"/>
      <w:color w:val="000000"/>
      <w:sz w:val="24"/>
      <w:szCs w:val="24"/>
      <w:lang w:eastAsia="en-GB"/>
    </w:rPr>
  </w:style>
  <w:style w:type="character" w:styleId="Hyperlink">
    <w:name w:val="Hyperlink"/>
    <w:rsid w:val="005F1C1E"/>
    <w:rPr>
      <w:color w:val="0000FF"/>
      <w:u w:val="single"/>
    </w:rPr>
  </w:style>
  <w:style w:type="paragraph" w:styleId="SingleTxtG" w:customStyle="1">
    <w:name w:val="_ Single Txt_G"/>
    <w:basedOn w:val="Normal"/>
    <w:rsid w:val="001C3547"/>
    <w:pPr>
      <w:suppressAutoHyphens/>
      <w:spacing w:after="120" w:line="240" w:lineRule="atLeast"/>
      <w:ind w:left="1134" w:right="1134"/>
      <w:jc w:val="both"/>
    </w:pPr>
    <w:rPr>
      <w:sz w:val="20"/>
      <w:szCs w:val="20"/>
      <w:lang w:val="en-GB"/>
    </w:rPr>
  </w:style>
  <w:style w:type="paragraph" w:styleId="FootnoteText">
    <w:name w:val="footnote text"/>
    <w:basedOn w:val="Normal"/>
    <w:link w:val="FootnoteTextChar"/>
    <w:rsid w:val="00C818D2"/>
    <w:rPr>
      <w:sz w:val="20"/>
      <w:szCs w:val="20"/>
    </w:rPr>
  </w:style>
  <w:style w:type="character" w:styleId="FootnoteTextChar" w:customStyle="1">
    <w:name w:val="Footnote Text Char"/>
    <w:link w:val="FootnoteText"/>
    <w:rsid w:val="00C818D2"/>
    <w:rPr>
      <w:lang w:val="en-US" w:eastAsia="en-US"/>
    </w:rPr>
  </w:style>
  <w:style w:type="character" w:styleId="FootnoteReference">
    <w:name w:val="footnote reference"/>
    <w:rsid w:val="00C818D2"/>
    <w:rPr>
      <w:vertAlign w:val="superscript"/>
    </w:rPr>
  </w:style>
  <w:style w:type="character" w:styleId="Heading1Char" w:customStyle="1">
    <w:name w:val="Heading 1 Char"/>
    <w:basedOn w:val="DefaultParagraphFont"/>
    <w:link w:val="Heading1"/>
    <w:rsid w:val="00EF5F0C"/>
    <w:rPr>
      <w:b/>
      <w:sz w:val="24"/>
      <w:szCs w:val="24"/>
    </w:rPr>
  </w:style>
  <w:style w:type="paragraph" w:styleId="Header">
    <w:name w:val="header"/>
    <w:basedOn w:val="Normal"/>
    <w:link w:val="HeaderChar"/>
    <w:rsid w:val="00EB5C60"/>
    <w:pPr>
      <w:tabs>
        <w:tab w:val="center" w:pos="4513"/>
        <w:tab w:val="right" w:pos="9026"/>
      </w:tabs>
    </w:pPr>
  </w:style>
  <w:style w:type="character" w:styleId="HeaderChar" w:customStyle="1">
    <w:name w:val="Header Char"/>
    <w:basedOn w:val="DefaultParagraphFont"/>
    <w:link w:val="Header"/>
    <w:rsid w:val="00EB5C60"/>
    <w:rPr>
      <w:sz w:val="24"/>
      <w:szCs w:val="24"/>
    </w:rPr>
  </w:style>
  <w:style w:type="paragraph" w:styleId="Footer">
    <w:name w:val="footer"/>
    <w:basedOn w:val="Normal"/>
    <w:link w:val="FooterChar"/>
    <w:rsid w:val="00EB5C60"/>
    <w:pPr>
      <w:tabs>
        <w:tab w:val="center" w:pos="4513"/>
        <w:tab w:val="right" w:pos="9026"/>
      </w:tabs>
    </w:pPr>
  </w:style>
  <w:style w:type="character" w:styleId="FooterChar" w:customStyle="1">
    <w:name w:val="Footer Char"/>
    <w:basedOn w:val="DefaultParagraphFont"/>
    <w:link w:val="Footer"/>
    <w:rsid w:val="00EB5C60"/>
    <w:rPr>
      <w:sz w:val="24"/>
      <w:szCs w:val="24"/>
    </w:rPr>
  </w:style>
  <w:style w:type="table" w:styleId="GridTable1Light">
    <w:name w:val="Grid Table 1 Light"/>
    <w:basedOn w:val="TableNormal"/>
    <w:uiPriority w:val="46"/>
    <w:rsid w:val="00DC73DA"/>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11D40"/>
    <w:rPr>
      <w:color w:val="605E5C"/>
      <w:shd w:val="clear" w:color="auto" w:fill="E1DFDD"/>
    </w:rPr>
  </w:style>
  <w:style w:type="character" w:styleId="Mention">
    <w:name w:val="Mention"/>
    <w:basedOn w:val="DefaultParagraphFont"/>
    <w:uiPriority w:val="99"/>
    <w:unhideWhenUsed/>
    <w:rsid w:val="00CE0E45"/>
    <w:rPr>
      <w:color w:val="2B579A"/>
      <w:shd w:val="clear" w:color="auto" w:fill="E1DFDD"/>
    </w:rPr>
  </w:style>
  <w:style w:type="paragraph" w:styleId="Revision">
    <w:name w:val="Revision"/>
    <w:hidden/>
    <w:uiPriority w:val="99"/>
    <w:semiHidden/>
    <w:rsid w:val="00EC25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29491">
      <w:bodyDiv w:val="1"/>
      <w:marLeft w:val="0"/>
      <w:marRight w:val="0"/>
      <w:marTop w:val="0"/>
      <w:marBottom w:val="0"/>
      <w:divBdr>
        <w:top w:val="none" w:sz="0" w:space="0" w:color="auto"/>
        <w:left w:val="none" w:sz="0" w:space="0" w:color="auto"/>
        <w:bottom w:val="none" w:sz="0" w:space="0" w:color="auto"/>
        <w:right w:val="none" w:sz="0" w:space="0" w:color="auto"/>
      </w:divBdr>
      <w:divsChild>
        <w:div w:id="430205279">
          <w:marLeft w:val="0"/>
          <w:marRight w:val="0"/>
          <w:marTop w:val="0"/>
          <w:marBottom w:val="0"/>
          <w:divBdr>
            <w:top w:val="none" w:sz="0" w:space="0" w:color="auto"/>
            <w:left w:val="none" w:sz="0" w:space="0" w:color="auto"/>
            <w:bottom w:val="none" w:sz="0" w:space="0" w:color="auto"/>
            <w:right w:val="none" w:sz="0" w:space="0" w:color="auto"/>
          </w:divBdr>
        </w:div>
        <w:div w:id="1234320617">
          <w:marLeft w:val="0"/>
          <w:marRight w:val="0"/>
          <w:marTop w:val="0"/>
          <w:marBottom w:val="0"/>
          <w:divBdr>
            <w:top w:val="none" w:sz="0" w:space="0" w:color="auto"/>
            <w:left w:val="none" w:sz="0" w:space="0" w:color="auto"/>
            <w:bottom w:val="none" w:sz="0" w:space="0" w:color="auto"/>
            <w:right w:val="none" w:sz="0" w:space="0" w:color="auto"/>
          </w:divBdr>
        </w:div>
        <w:div w:id="1299532057">
          <w:marLeft w:val="0"/>
          <w:marRight w:val="0"/>
          <w:marTop w:val="0"/>
          <w:marBottom w:val="0"/>
          <w:divBdr>
            <w:top w:val="none" w:sz="0" w:space="0" w:color="auto"/>
            <w:left w:val="none" w:sz="0" w:space="0" w:color="auto"/>
            <w:bottom w:val="none" w:sz="0" w:space="0" w:color="auto"/>
            <w:right w:val="none" w:sz="0" w:space="0" w:color="auto"/>
          </w:divBdr>
        </w:div>
        <w:div w:id="1554611260">
          <w:marLeft w:val="0"/>
          <w:marRight w:val="0"/>
          <w:marTop w:val="0"/>
          <w:marBottom w:val="0"/>
          <w:divBdr>
            <w:top w:val="none" w:sz="0" w:space="0" w:color="auto"/>
            <w:left w:val="none" w:sz="0" w:space="0" w:color="auto"/>
            <w:bottom w:val="none" w:sz="0" w:space="0" w:color="auto"/>
            <w:right w:val="none" w:sz="0" w:space="0" w:color="auto"/>
          </w:divBdr>
        </w:div>
        <w:div w:id="1717437137">
          <w:marLeft w:val="0"/>
          <w:marRight w:val="0"/>
          <w:marTop w:val="0"/>
          <w:marBottom w:val="0"/>
          <w:divBdr>
            <w:top w:val="none" w:sz="0" w:space="0" w:color="auto"/>
            <w:left w:val="none" w:sz="0" w:space="0" w:color="auto"/>
            <w:bottom w:val="none" w:sz="0" w:space="0" w:color="auto"/>
            <w:right w:val="none" w:sz="0" w:space="0" w:color="auto"/>
          </w:divBdr>
        </w:div>
        <w:div w:id="1985357258">
          <w:marLeft w:val="0"/>
          <w:marRight w:val="0"/>
          <w:marTop w:val="0"/>
          <w:marBottom w:val="0"/>
          <w:divBdr>
            <w:top w:val="none" w:sz="0" w:space="0" w:color="auto"/>
            <w:left w:val="none" w:sz="0" w:space="0" w:color="auto"/>
            <w:bottom w:val="none" w:sz="0" w:space="0" w:color="auto"/>
            <w:right w:val="none" w:sz="0" w:space="0" w:color="auto"/>
          </w:divBdr>
        </w:div>
      </w:divsChild>
    </w:div>
    <w:div w:id="8738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unfccc.int/documents/627789."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unfccc.int/documents/627802"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78B9618BB448B57D2B754139AEA3" ma:contentTypeVersion="9" ma:contentTypeDescription="Create a new document." ma:contentTypeScope="" ma:versionID="439bc803fbd3351edb1b31f7d641d615">
  <xsd:schema xmlns:xsd="http://www.w3.org/2001/XMLSchema" xmlns:xs="http://www.w3.org/2001/XMLSchema" xmlns:p="http://schemas.microsoft.com/office/2006/metadata/properties" xmlns:ns2="0063f72e-ace3-48fb-9c1f-5b513408b31f" xmlns:ns3="5b28aca4-1a3f-4435-8455-199cb477ca9d" xmlns:ns4="b413c3fd-5a3b-4239-b985-69032e371c04" xmlns:ns5="a8f60570-4bd3-4f2b-950b-a996de8ab151" xmlns:ns6="aaacb922-5235-4a66-b188-303b9b46fbd7" xmlns:ns7="737bf41a-8d5f-4cd0-b3da-c967379ba47b" targetNamespace="http://schemas.microsoft.com/office/2006/metadata/properties" ma:root="true" ma:fieldsID="c2741fb864d2076ef878933a44f23328" ns2:_="" ns3:_="" ns4:_="" ns5:_="" ns6:_="" ns7:_="">
    <xsd:import namespace="0063f72e-ace3-48fb-9c1f-5b513408b31f"/>
    <xsd:import namespace="5b28aca4-1a3f-4435-8455-199cb477ca9d"/>
    <xsd:import namespace="b413c3fd-5a3b-4239-b985-69032e371c04"/>
    <xsd:import namespace="a8f60570-4bd3-4f2b-950b-a996de8ab151"/>
    <xsd:import namespace="aaacb922-5235-4a66-b188-303b9b46fbd7"/>
    <xsd:import namespace="737bf41a-8d5f-4cd0-b3da-c967379ba47b"/>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3:_dlc_DocId" minOccurs="0"/>
                <xsd:element ref="ns3:_dlc_DocIdUrl" minOccurs="0"/>
                <xsd:element ref="ns3:_dlc_DocIdPersistId" minOccurs="0"/>
                <xsd:element ref="ns7:MediaServiceMetadata" minOccurs="0"/>
                <xsd:element ref="ns7:MediaServiceFastMetadata" minOccurs="0"/>
                <xsd:element ref="ns7:MediaServiceAutoKeyPoints" minOccurs="0"/>
                <xsd:element ref="ns7:MediaServiceKeyPoints" minOccurs="0"/>
                <xsd:element ref="ns3:SharedWithUsers" minOccurs="0"/>
                <xsd:element ref="ns3:SharedWithDetails" minOccurs="0"/>
                <xsd:element ref="ns7:MediaLengthInSeconds" minOccurs="0"/>
                <xsd:element ref="ns7:MediaServiceDateTaken"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5b28aca4-1a3f-4435-8455-199cb477ca9d"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International (Climate and Energy)|fe0bc9c3-22ea-482b-b56e-0bdc7b001e81"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e8562950-a020-4985-b67d-04f350da94e9}" ma:internalName="TaxCatchAll" ma:showField="CatchAllData" ma:web="5b28aca4-1a3f-4435-8455-199cb477ca9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8562950-a020-4985-b67d-04f350da94e9}" ma:internalName="TaxCatchAllLabel" ma:readOnly="true" ma:showField="CatchAllDataLabel" ma:web="5b28aca4-1a3f-4435-8455-199cb477ca9d">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7bf41a-8d5f-4cd0-b3da-c967379ba47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2023-09-05T10:00:31+00:00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m975189f4ba442ecbf67d4147307b177 xmlns="5b28aca4-1a3f-4435-8455-199cb477ca9d">
      <Terms xmlns="http://schemas.microsoft.com/office/infopath/2007/PartnerControls">
        <TermInfo xmlns="http://schemas.microsoft.com/office/infopath/2007/PartnerControls">
          <TermName xmlns="http://schemas.microsoft.com/office/infopath/2007/PartnerControls">International (Climate and Energy)</TermName>
          <TermId xmlns="http://schemas.microsoft.com/office/infopath/2007/PartnerControls">fe0bc9c3-22ea-482b-b56e-0bdc7b001e81</TermId>
        </TermInfo>
      </Terms>
    </m975189f4ba442ecbf67d4147307b177>
    <TaxCatchAll xmlns="5b28aca4-1a3f-4435-8455-199cb477ca9d">
      <Value>1</Value>
    </TaxCatchAll>
    <_dlc_DocId xmlns="5b28aca4-1a3f-4435-8455-199cb477ca9d">E3XVJX4CQZD7-901646921-31738</_dlc_DocId>
    <_dlc_DocIdUrl xmlns="5b28aca4-1a3f-4435-8455-199cb477ca9d">
      <Url>https://beisgov.sharepoint.com/sites/InternationalClimateStrategyICE/_layouts/15/DocIdRedir.aspx?ID=E3XVJX4CQZD7-901646921-31738</Url>
      <Description>E3XVJX4CQZD7-901646921-31738</Description>
    </_dlc_DocIdUrl>
    <SharedWithUsers xmlns="5b28aca4-1a3f-4435-8455-199cb477ca9d">
      <UserInfo>
        <DisplayName>Saxby, Jennifer (Energy Security)</DisplayName>
        <AccountId>3260</AccountId>
        <AccountType/>
      </UserInfo>
      <UserInfo>
        <DisplayName>Forrest, Tom (Energy Security)</DisplayName>
        <AccountId>3248</AccountId>
        <AccountType/>
      </UserInfo>
      <UserInfo>
        <DisplayName>Limited Access System Group For List 737bf41a-8d5f-4cd0-b3da-c967379ba47b</DisplayName>
        <AccountId>2017</AccountId>
        <AccountType/>
      </UserInfo>
      <UserInfo>
        <DisplayName>Allcorn, Patrick (Energy Efficiency &amp; Local)</DisplayName>
        <AccountId>745</AccountId>
        <AccountType/>
      </UserInfo>
      <UserInfo>
        <DisplayName>zz_Grant, Anneyael (BEIS)</DisplayName>
        <AccountId>380</AccountId>
        <AccountType/>
      </UserInfo>
      <UserInfo>
        <DisplayName>Smookler, Jennifer (Energy Security)</DisplayName>
        <AccountId>4240</AccountId>
        <AccountType/>
      </UserInfo>
      <UserInfo>
        <DisplayName>Lawler, Megan (Energy Security)</DisplayName>
        <AccountId>52</AccountId>
        <AccountType/>
      </UserInfo>
      <UserInfo>
        <DisplayName>Petrie, Simon (Energy Security)</DisplayName>
        <AccountId>30</AccountId>
        <AccountType/>
      </UserInfo>
      <UserInfo>
        <DisplayName>Fuller, Stephanie (Energy Security)</DisplayName>
        <AccountId>8348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556D-1B75-4433-B549-39EB6AFF2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5b28aca4-1a3f-4435-8455-199cb477ca9d"/>
    <ds:schemaRef ds:uri="b413c3fd-5a3b-4239-b985-69032e371c04"/>
    <ds:schemaRef ds:uri="a8f60570-4bd3-4f2b-950b-a996de8ab151"/>
    <ds:schemaRef ds:uri="aaacb922-5235-4a66-b188-303b9b46fbd7"/>
    <ds:schemaRef ds:uri="737bf41a-8d5f-4cd0-b3da-c967379ba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69D34-B94C-40B2-B0DD-4DE81E3F22D6}">
  <ds:schemaRefs>
    <ds:schemaRef ds:uri="http://schemas.microsoft.com/sharepoint/v3/contenttype/forms"/>
  </ds:schemaRefs>
</ds:datastoreItem>
</file>

<file path=customXml/itemProps3.xml><?xml version="1.0" encoding="utf-8"?>
<ds:datastoreItem xmlns:ds="http://schemas.openxmlformats.org/officeDocument/2006/customXml" ds:itemID="{92064F8B-332B-403A-968A-F5B720F6A8EB}">
  <ds:schemaRefs>
    <ds:schemaRef ds:uri="http://schemas.microsoft.com/sharepoint/events"/>
  </ds:schemaRefs>
</ds:datastoreItem>
</file>

<file path=customXml/itemProps4.xml><?xml version="1.0" encoding="utf-8"?>
<ds:datastoreItem xmlns:ds="http://schemas.openxmlformats.org/officeDocument/2006/customXml" ds:itemID="{053D20B7-4A43-4955-82AF-5502B2755D25}">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a8f60570-4bd3-4f2b-950b-a996de8ab151"/>
    <ds:schemaRef ds:uri="5b28aca4-1a3f-4435-8455-199cb477ca9d"/>
  </ds:schemaRefs>
</ds:datastoreItem>
</file>

<file path=customXml/itemProps5.xml><?xml version="1.0" encoding="utf-8"?>
<ds:datastoreItem xmlns:ds="http://schemas.openxmlformats.org/officeDocument/2006/customXml" ds:itemID="{17DA3ACE-B4A8-4DEE-9D2E-690337127C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outline True-up period report CP2</dc:title>
  <dc:subject/>
  <dc:creator>John Insole</dc:creator>
  <cp:keywords/>
  <cp:lastModifiedBy>Fuller, Stephanie (Energy Security)</cp:lastModifiedBy>
  <cp:revision>7</cp:revision>
  <cp:lastPrinted>2015-07-09T22:18:00Z</cp:lastPrinted>
  <dcterms:created xsi:type="dcterms:W3CDTF">2023-10-16T23:43:00Z</dcterms:created>
  <dcterms:modified xsi:type="dcterms:W3CDTF">2023-10-19T09:37:04Z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0x01010019E178B9618BB448B57D2B754139AEA3</vt:lpwstr>
  </property>
  <property fmtid="{D5CDD505-2E9C-101B-9397-08002B2CF9AE}" pid="3" name="Category">
    <vt:lpwstr>True up period</vt:lpwstr>
  </property>
  <property fmtid="{D5CDD505-2E9C-101B-9397-08002B2CF9AE}" pid="4" name="Last updated">
    <vt:filetime>2015-10-15T22:00:00Z</vt:filetime>
  </property>
  <property fmtid="{D5CDD505-2E9C-101B-9397-08002B2CF9AE}" pid="5" name="Training">
    <vt:lpwstr>No</vt:lpwstr>
  </property>
  <property fmtid="{D5CDD505-2E9C-101B-9397-08002B2CF9AE}" pid="6" name="KP Annex 1 Party">
    <vt:lpwstr>-</vt:lpwstr>
  </property>
  <property fmtid="{D5CDD505-2E9C-101B-9397-08002B2CF9AE}" pid="7" name="MSIP_Label_ba62f585-b40f-4ab9-bafe-39150f03d124_Enabled">
    <vt:lpwstr>true</vt:lpwstr>
  </property>
  <property fmtid="{D5CDD505-2E9C-101B-9397-08002B2CF9AE}" pid="8" name="MSIP_Label_ba62f585-b40f-4ab9-bafe-39150f03d124_SetDate">
    <vt:lpwstr>2023-09-05T10:07:12Z</vt:lpwstr>
  </property>
  <property fmtid="{D5CDD505-2E9C-101B-9397-08002B2CF9AE}" pid="9" name="MSIP_Label_ba62f585-b40f-4ab9-bafe-39150f03d124_Method">
    <vt:lpwstr>Standard</vt:lpwstr>
  </property>
  <property fmtid="{D5CDD505-2E9C-101B-9397-08002B2CF9AE}" pid="10" name="MSIP_Label_ba62f585-b40f-4ab9-bafe-39150f03d124_Name">
    <vt:lpwstr>OFFICIAL</vt:lpwstr>
  </property>
  <property fmtid="{D5CDD505-2E9C-101B-9397-08002B2CF9AE}" pid="11" name="MSIP_Label_ba62f585-b40f-4ab9-bafe-39150f03d124_SiteId">
    <vt:lpwstr>cbac7005-02c1-43eb-b497-e6492d1b2dd8</vt:lpwstr>
  </property>
  <property fmtid="{D5CDD505-2E9C-101B-9397-08002B2CF9AE}" pid="12" name="MSIP_Label_ba62f585-b40f-4ab9-bafe-39150f03d124_ActionId">
    <vt:lpwstr>ebffce54-0290-414d-bd15-5ee77b7e1f0a</vt:lpwstr>
  </property>
  <property fmtid="{D5CDD505-2E9C-101B-9397-08002B2CF9AE}" pid="13" name="MSIP_Label_ba62f585-b40f-4ab9-bafe-39150f03d124_ContentBits">
    <vt:lpwstr>0</vt:lpwstr>
  </property>
  <property fmtid="{D5CDD505-2E9C-101B-9397-08002B2CF9AE}" pid="14" name="MediaServiceImageTags">
    <vt:lpwstr/>
  </property>
  <property fmtid="{D5CDD505-2E9C-101B-9397-08002B2CF9AE}" pid="15" name="_dlc_DocIdItemGuid">
    <vt:lpwstr>11e8d1b2-c2ff-4312-bf32-5bc599bf524d</vt:lpwstr>
  </property>
  <property fmtid="{D5CDD505-2E9C-101B-9397-08002B2CF9AE}" pid="16" name="Business Unit">
    <vt:lpwstr>1;#International (Climate and Energy)|fe0bc9c3-22ea-482b-b56e-0bdc7b001e81</vt:lpwstr>
  </property>
</Properties>
</file>